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1.0 -->
  <w:body>
    <w:p w:rsidR="000900EA" w:rsidRPr="00223DC6" w:rsidP="002B54F9" w14:paraId="4858D009" w14:textId="17BD733A">
      <w:pPr>
        <w:pStyle w:val="Heading1"/>
        <w:rPr>
          <w:sz w:val="32"/>
          <w:szCs w:val="18"/>
        </w:rPr>
      </w:pPr>
      <w:r w:rsidRPr="00223DC6">
        <w:rPr>
          <w:sz w:val="32"/>
          <w:szCs w:val="18"/>
        </w:rPr>
        <w:drawing>
          <wp:anchor simplePos="0" relativeHeight="251658240" behindDoc="0" locked="1" layoutInCell="1" allowOverlap="1">
            <wp:simplePos x="0" y="0"/>
            <wp:positionH relativeFrom="margin">
              <wp:posOffset>0</wp:posOffset>
            </wp:positionH>
            <wp:positionV relativeFrom="margin">
              <wp:posOffset>-1676400</wp:posOffset>
            </wp:positionV>
            <wp:extent cx="1645923" cy="1120142"/>
            <wp:wrapNone/>
            <wp:docPr id="100008" name="" descr="Bro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xmlns:r="http://schemas.openxmlformats.org/officeDocument/2006/relationships" r:embed="rId7"/>
                    <a:stretch>
                      <a:fillRect/>
                    </a:stretch>
                  </pic:blipFill>
                  <pic:spPr>
                    <a:xfrm>
                      <a:off x="0" y="0"/>
                      <a:ext cx="1645923" cy="1120142"/>
                    </a:xfrm>
                    <a:prstGeom prst="rect">
                      <a:avLst/>
                    </a:prstGeom>
                  </pic:spPr>
                </pic:pic>
              </a:graphicData>
            </a:graphic>
          </wp:anchor>
        </w:drawing>
      </w:r>
      <w:r w:rsidRPr="00223DC6">
        <w:rPr>
          <w:sz w:val="32"/>
          <w:szCs w:val="18"/>
        </w:rPr>
        <w:t xml:space="preserve">2025 </w:t>
      </w:r>
      <w:r w:rsidRPr="00223DC6" w:rsidR="00A948A8">
        <w:rPr>
          <w:sz w:val="32"/>
          <w:szCs w:val="18"/>
        </w:rPr>
        <w:t>Construction Industry Trend</w:t>
      </w:r>
      <w:r w:rsidRPr="00223DC6">
        <w:rPr>
          <w:sz w:val="32"/>
          <w:szCs w:val="18"/>
        </w:rPr>
        <w:t>s</w:t>
      </w:r>
    </w:p>
    <w:p w:rsidR="00FF1E62" w:rsidRPr="00045A2A" w:rsidP="00CE2657" w14:paraId="4CFBF29F" w14:textId="128E6EEC">
      <w:pPr>
        <w:rPr>
          <w:sz w:val="20"/>
          <w:szCs w:val="20"/>
        </w:rPr>
      </w:pPr>
      <w:r w:rsidRPr="00045A2A">
        <w:rPr>
          <w:sz w:val="20"/>
          <w:szCs w:val="20"/>
        </w:rPr>
        <w:t xml:space="preserve">Several trends </w:t>
      </w:r>
      <w:r w:rsidR="001313CF">
        <w:rPr>
          <w:sz w:val="20"/>
          <w:szCs w:val="20"/>
        </w:rPr>
        <w:t>look to</w:t>
      </w:r>
      <w:r w:rsidRPr="00045A2A" w:rsidR="00DF116D">
        <w:rPr>
          <w:sz w:val="20"/>
          <w:szCs w:val="20"/>
        </w:rPr>
        <w:t xml:space="preserve"> </w:t>
      </w:r>
      <w:r w:rsidRPr="00045A2A" w:rsidR="00DF116D">
        <w:rPr>
          <w:sz w:val="20"/>
          <w:szCs w:val="20"/>
        </w:rPr>
        <w:t>impact</w:t>
      </w:r>
      <w:r w:rsidRPr="00045A2A" w:rsidR="00DF116D">
        <w:rPr>
          <w:sz w:val="20"/>
          <w:szCs w:val="20"/>
        </w:rPr>
        <w:t xml:space="preserve"> the construction industry in 2025</w:t>
      </w:r>
      <w:r w:rsidRPr="00045A2A" w:rsidR="00CE2657">
        <w:rPr>
          <w:sz w:val="20"/>
          <w:szCs w:val="20"/>
        </w:rPr>
        <w:t>. As such, construction business</w:t>
      </w:r>
      <w:r w:rsidRPr="00045A2A" w:rsidR="00DF116D">
        <w:rPr>
          <w:sz w:val="20"/>
          <w:szCs w:val="20"/>
        </w:rPr>
        <w:t xml:space="preserve"> leaders</w:t>
      </w:r>
      <w:r w:rsidRPr="00045A2A" w:rsidR="00CE2657">
        <w:rPr>
          <w:sz w:val="20"/>
          <w:szCs w:val="20"/>
        </w:rPr>
        <w:t xml:space="preserve"> should monitor </w:t>
      </w:r>
      <w:r w:rsidRPr="00045A2A" w:rsidR="00DF116D">
        <w:rPr>
          <w:sz w:val="20"/>
          <w:szCs w:val="20"/>
        </w:rPr>
        <w:t>these</w:t>
      </w:r>
      <w:r w:rsidRPr="00045A2A" w:rsidR="00CE2657">
        <w:rPr>
          <w:sz w:val="20"/>
          <w:szCs w:val="20"/>
        </w:rPr>
        <w:t xml:space="preserve"> developments and adjust their risk management programs accordingly. </w:t>
      </w:r>
      <w:r w:rsidRPr="00045A2A">
        <w:rPr>
          <w:sz w:val="20"/>
          <w:szCs w:val="20"/>
        </w:rPr>
        <w:t>Trends to watch include:</w:t>
      </w:r>
    </w:p>
    <w:p w:rsidR="00FD21D0" w:rsidRPr="00045A2A" w:rsidP="00775779" w14:paraId="4FFE30C1" w14:textId="3B49E5BA">
      <w:pPr>
        <w:spacing w:after="0"/>
        <w:rPr>
          <w:b/>
          <w:bCs/>
          <w:sz w:val="20"/>
          <w:szCs w:val="20"/>
        </w:rPr>
      </w:pPr>
      <w:r w:rsidRPr="00045A2A">
        <w:rPr>
          <w:b/>
          <w:bCs/>
          <w:sz w:val="20"/>
          <w:szCs w:val="20"/>
        </w:rPr>
        <w:t>Economic Headwinds</w:t>
      </w:r>
    </w:p>
    <w:p w:rsidR="00992B63" w:rsidP="00992B63" w14:paraId="405C4696" w14:textId="34925796">
      <w:pPr>
        <w:rPr>
          <w:sz w:val="20"/>
          <w:szCs w:val="20"/>
        </w:rPr>
      </w:pPr>
      <w:r w:rsidRPr="00992B63">
        <w:rPr>
          <w:sz w:val="20"/>
          <w:szCs w:val="20"/>
        </w:rPr>
        <w:t xml:space="preserve">While the overall inflation rate has cooled </w:t>
      </w:r>
      <w:r w:rsidRPr="00992B63" w:rsidR="00A7463C">
        <w:rPr>
          <w:sz w:val="20"/>
          <w:szCs w:val="20"/>
        </w:rPr>
        <w:t>from</w:t>
      </w:r>
      <w:r w:rsidRPr="00992B63">
        <w:rPr>
          <w:sz w:val="20"/>
          <w:szCs w:val="20"/>
        </w:rPr>
        <w:t xml:space="preserve"> its recent highs, it continues to influence a range of costs in the construction industry.</w:t>
      </w:r>
      <w:r w:rsidRPr="00992B63" w:rsidR="00512ADF">
        <w:rPr>
          <w:sz w:val="20"/>
          <w:szCs w:val="20"/>
        </w:rPr>
        <w:t xml:space="preserve"> In 2025, inflation will likely keep compounding the industry’s rising material costs and total project expenses. </w:t>
      </w:r>
      <w:r w:rsidRPr="00992B63" w:rsidR="006F26E4">
        <w:rPr>
          <w:sz w:val="20"/>
          <w:szCs w:val="20"/>
        </w:rPr>
        <w:t>In addition to inflation, ongoing labor shortages and supply chain struggles are creating economic headwinds</w:t>
      </w:r>
      <w:r w:rsidR="001313CF">
        <w:rPr>
          <w:sz w:val="20"/>
          <w:szCs w:val="20"/>
        </w:rPr>
        <w:t>. Certain</w:t>
      </w:r>
      <w:r w:rsidRPr="00992B63" w:rsidR="00776A09">
        <w:rPr>
          <w:sz w:val="20"/>
          <w:szCs w:val="20"/>
        </w:rPr>
        <w:t xml:space="preserve"> construction product shortages and sourcing issues for building materials will likely press on for the foreseeable future. </w:t>
      </w:r>
      <w:r w:rsidRPr="00992B63" w:rsidR="000D5E17">
        <w:rPr>
          <w:sz w:val="20"/>
          <w:szCs w:val="20"/>
        </w:rPr>
        <w:t>T</w:t>
      </w:r>
      <w:r w:rsidRPr="00992B63" w:rsidR="007345FF">
        <w:rPr>
          <w:sz w:val="20"/>
          <w:szCs w:val="20"/>
        </w:rPr>
        <w:t xml:space="preserve">hese </w:t>
      </w:r>
      <w:r w:rsidRPr="00992B63" w:rsidR="0050770C">
        <w:rPr>
          <w:sz w:val="20"/>
          <w:szCs w:val="20"/>
        </w:rPr>
        <w:t>challenges affect</w:t>
      </w:r>
      <w:r w:rsidRPr="00992B63" w:rsidR="005F7096">
        <w:rPr>
          <w:sz w:val="20"/>
          <w:szCs w:val="20"/>
        </w:rPr>
        <w:t xml:space="preserve"> </w:t>
      </w:r>
      <w:r w:rsidRPr="00992B63" w:rsidR="0050770C">
        <w:rPr>
          <w:sz w:val="20"/>
          <w:szCs w:val="20"/>
        </w:rPr>
        <w:t>the prices for building materials that have become more difficult to obtain</w:t>
      </w:r>
      <w:r w:rsidRPr="00992B63" w:rsidR="000D5E17">
        <w:rPr>
          <w:sz w:val="20"/>
          <w:szCs w:val="20"/>
        </w:rPr>
        <w:t xml:space="preserve"> and</w:t>
      </w:r>
      <w:r w:rsidRPr="00992B63" w:rsidR="0050770C">
        <w:rPr>
          <w:sz w:val="20"/>
          <w:szCs w:val="20"/>
        </w:rPr>
        <w:t xml:space="preserve"> mak</w:t>
      </w:r>
      <w:r w:rsidRPr="00992B63" w:rsidR="000D5E17">
        <w:rPr>
          <w:sz w:val="20"/>
          <w:szCs w:val="20"/>
        </w:rPr>
        <w:t>e</w:t>
      </w:r>
      <w:r w:rsidRPr="00992B63" w:rsidR="0050770C">
        <w:rPr>
          <w:sz w:val="20"/>
          <w:szCs w:val="20"/>
        </w:rPr>
        <w:t xml:space="preserve"> construction projects more expensive to complete. </w:t>
      </w:r>
      <w:r w:rsidRPr="00992B63" w:rsidR="000D5E17">
        <w:rPr>
          <w:sz w:val="20"/>
          <w:szCs w:val="20"/>
        </w:rPr>
        <w:t>Additionally</w:t>
      </w:r>
      <w:r w:rsidRPr="00992B63" w:rsidR="0050770C">
        <w:rPr>
          <w:sz w:val="20"/>
          <w:szCs w:val="20"/>
        </w:rPr>
        <w:t xml:space="preserve">, </w:t>
      </w:r>
      <w:r w:rsidRPr="00992B63" w:rsidR="00861FB5">
        <w:rPr>
          <w:sz w:val="20"/>
          <w:szCs w:val="20"/>
        </w:rPr>
        <w:t>supply chain issues</w:t>
      </w:r>
      <w:r w:rsidRPr="00992B63" w:rsidR="0050770C">
        <w:rPr>
          <w:sz w:val="20"/>
          <w:szCs w:val="20"/>
        </w:rPr>
        <w:t xml:space="preserve"> for building materials may extend project timelines, further elevating costs. </w:t>
      </w:r>
    </w:p>
    <w:p w:rsidR="006B13AB" w:rsidRPr="00992B63" w:rsidP="00992B63" w14:paraId="6C410058" w14:textId="71C021C0">
      <w:pPr>
        <w:rPr>
          <w:sz w:val="20"/>
          <w:szCs w:val="20"/>
        </w:rPr>
      </w:pPr>
      <w:r>
        <w:rPr>
          <w:sz w:val="20"/>
          <w:szCs w:val="20"/>
        </w:rPr>
        <w:t>Due to</w:t>
      </w:r>
      <w:r w:rsidRPr="00992B63">
        <w:rPr>
          <w:sz w:val="20"/>
          <w:szCs w:val="20"/>
        </w:rPr>
        <w:t xml:space="preserve"> these economic </w:t>
      </w:r>
      <w:r w:rsidR="001313CF">
        <w:rPr>
          <w:sz w:val="20"/>
          <w:szCs w:val="20"/>
        </w:rPr>
        <w:t>conditions</w:t>
      </w:r>
      <w:r w:rsidRPr="00992B63">
        <w:rPr>
          <w:sz w:val="20"/>
          <w:szCs w:val="20"/>
        </w:rPr>
        <w:t xml:space="preserve">, construction </w:t>
      </w:r>
      <w:r w:rsidR="00AF60CE">
        <w:rPr>
          <w:sz w:val="20"/>
          <w:szCs w:val="20"/>
        </w:rPr>
        <w:t>employers</w:t>
      </w:r>
      <w:r w:rsidRPr="00992B63" w:rsidR="00AF60CE">
        <w:rPr>
          <w:sz w:val="20"/>
          <w:szCs w:val="20"/>
        </w:rPr>
        <w:t xml:space="preserve"> </w:t>
      </w:r>
      <w:r>
        <w:rPr>
          <w:sz w:val="20"/>
          <w:szCs w:val="20"/>
        </w:rPr>
        <w:t>should</w:t>
      </w:r>
      <w:r w:rsidRPr="00992B63">
        <w:rPr>
          <w:sz w:val="20"/>
          <w:szCs w:val="20"/>
        </w:rPr>
        <w:t xml:space="preserve"> reduce their </w:t>
      </w:r>
      <w:r w:rsidR="00AF60CE">
        <w:rPr>
          <w:sz w:val="20"/>
          <w:szCs w:val="20"/>
        </w:rPr>
        <w:t xml:space="preserve">businesses’ </w:t>
      </w:r>
      <w:r w:rsidRPr="00992B63">
        <w:rPr>
          <w:sz w:val="20"/>
          <w:szCs w:val="20"/>
        </w:rPr>
        <w:t>risks by upholding responsible financial plans and practices</w:t>
      </w:r>
      <w:r>
        <w:rPr>
          <w:sz w:val="20"/>
          <w:szCs w:val="20"/>
        </w:rPr>
        <w:t xml:space="preserve"> (e.g., scaling</w:t>
      </w:r>
      <w:r w:rsidRPr="00992B63">
        <w:rPr>
          <w:sz w:val="20"/>
          <w:szCs w:val="20"/>
        </w:rPr>
        <w:t xml:space="preserve"> back certain operations, promoting steady cash flow,</w:t>
      </w:r>
      <w:r w:rsidR="00A7463C">
        <w:rPr>
          <w:sz w:val="20"/>
          <w:szCs w:val="20"/>
        </w:rPr>
        <w:t xml:space="preserve"> improving recruiting and retention efforts,</w:t>
      </w:r>
      <w:r w:rsidRPr="00992B63">
        <w:rPr>
          <w:sz w:val="20"/>
          <w:szCs w:val="20"/>
        </w:rPr>
        <w:t xml:space="preserve"> ensuring proper debt management, fostering strong connections with stakeholders</w:t>
      </w:r>
      <w:r>
        <w:rPr>
          <w:sz w:val="20"/>
          <w:szCs w:val="20"/>
        </w:rPr>
        <w:t>, vetting vendors,</w:t>
      </w:r>
      <w:r w:rsidRPr="00992B63">
        <w:rPr>
          <w:sz w:val="20"/>
          <w:szCs w:val="20"/>
        </w:rPr>
        <w:t xml:space="preserve"> and leveraging effective marketing strategies</w:t>
      </w:r>
      <w:r>
        <w:rPr>
          <w:sz w:val="20"/>
          <w:szCs w:val="20"/>
        </w:rPr>
        <w:t>)</w:t>
      </w:r>
      <w:r w:rsidRPr="00992B63">
        <w:rPr>
          <w:sz w:val="20"/>
          <w:szCs w:val="20"/>
        </w:rPr>
        <w:t xml:space="preserve">. </w:t>
      </w:r>
    </w:p>
    <w:p w:rsidR="000900EA" w:rsidRPr="00A7463C" w:rsidP="006F6EC5" w14:paraId="1D331706" w14:textId="01F80AA5">
      <w:pPr>
        <w:spacing w:after="0"/>
        <w:rPr>
          <w:b/>
          <w:bCs/>
          <w:sz w:val="20"/>
          <w:szCs w:val="20"/>
        </w:rPr>
      </w:pPr>
      <w:r>
        <w:rPr>
          <w:b/>
          <w:bCs/>
          <w:sz w:val="20"/>
          <w:szCs w:val="20"/>
        </w:rPr>
        <w:t>Legal Challenges</w:t>
      </w:r>
    </w:p>
    <w:p w:rsidR="00A561EF" w:rsidP="00A561EF" w14:paraId="22EF5FB1" w14:textId="1EB73BF6">
      <w:pPr>
        <w:rPr>
          <w:sz w:val="20"/>
          <w:szCs w:val="20"/>
        </w:rPr>
      </w:pPr>
      <w:r w:rsidRPr="00A561EF">
        <w:rPr>
          <w:sz w:val="20"/>
          <w:szCs w:val="20"/>
        </w:rPr>
        <w:t>S</w:t>
      </w:r>
      <w:r w:rsidRPr="00A561EF" w:rsidR="00682DF5">
        <w:rPr>
          <w:sz w:val="20"/>
          <w:szCs w:val="20"/>
        </w:rPr>
        <w:t>everal large-scale structural disasters have prompted sweeping changes to building safety</w:t>
      </w:r>
      <w:r w:rsidRPr="00A561EF">
        <w:rPr>
          <w:sz w:val="20"/>
          <w:szCs w:val="20"/>
        </w:rPr>
        <w:t xml:space="preserve"> regulations</w:t>
      </w:r>
      <w:r w:rsidRPr="00A561EF" w:rsidR="00682DF5">
        <w:rPr>
          <w:sz w:val="20"/>
          <w:szCs w:val="20"/>
        </w:rPr>
        <w:t>. Although</w:t>
      </w:r>
      <w:r w:rsidR="001313CF">
        <w:rPr>
          <w:sz w:val="20"/>
          <w:szCs w:val="20"/>
        </w:rPr>
        <w:t xml:space="preserve"> laws</w:t>
      </w:r>
      <w:r w:rsidRPr="00A561EF">
        <w:rPr>
          <w:sz w:val="20"/>
          <w:szCs w:val="20"/>
        </w:rPr>
        <w:t xml:space="preserve"> continue</w:t>
      </w:r>
      <w:r w:rsidRPr="00A561EF" w:rsidR="00682DF5">
        <w:rPr>
          <w:sz w:val="20"/>
          <w:szCs w:val="20"/>
        </w:rPr>
        <w:t xml:space="preserve"> to evolve and vary between jurisdictions, construction companies that neglect to uphold these requirements may face costly legal fines and penalties and los</w:t>
      </w:r>
      <w:r w:rsidR="001313CF">
        <w:rPr>
          <w:sz w:val="20"/>
          <w:szCs w:val="20"/>
        </w:rPr>
        <w:t>e</w:t>
      </w:r>
      <w:r w:rsidRPr="00A561EF" w:rsidR="00682DF5">
        <w:rPr>
          <w:sz w:val="20"/>
          <w:szCs w:val="20"/>
        </w:rPr>
        <w:t xml:space="preserve"> business opportunities.</w:t>
      </w:r>
      <w:r w:rsidRPr="00A561EF">
        <w:rPr>
          <w:sz w:val="20"/>
          <w:szCs w:val="20"/>
        </w:rPr>
        <w:t xml:space="preserve"> Contract breakdowns and associated construction project problems have also contributed to </w:t>
      </w:r>
      <w:r w:rsidR="00396DF5">
        <w:rPr>
          <w:sz w:val="20"/>
          <w:szCs w:val="20"/>
        </w:rPr>
        <w:t xml:space="preserve">recent </w:t>
      </w:r>
      <w:r w:rsidRPr="00A561EF">
        <w:rPr>
          <w:sz w:val="20"/>
          <w:szCs w:val="20"/>
        </w:rPr>
        <w:t>legal challenges</w:t>
      </w:r>
      <w:r w:rsidR="0025090C">
        <w:rPr>
          <w:sz w:val="20"/>
          <w:szCs w:val="20"/>
        </w:rPr>
        <w:t>, and t</w:t>
      </w:r>
      <w:r w:rsidRPr="00A561EF">
        <w:rPr>
          <w:sz w:val="20"/>
          <w:szCs w:val="20"/>
        </w:rPr>
        <w:t>he rise in business insolvencies</w:t>
      </w:r>
      <w:r w:rsidR="0025090C">
        <w:rPr>
          <w:sz w:val="20"/>
          <w:szCs w:val="20"/>
        </w:rPr>
        <w:t xml:space="preserve"> </w:t>
      </w:r>
      <w:r w:rsidRPr="00A561EF">
        <w:rPr>
          <w:sz w:val="20"/>
          <w:szCs w:val="20"/>
        </w:rPr>
        <w:t>has compounded existing project delays and supply chain disruptions</w:t>
      </w:r>
      <w:r w:rsidR="00B21AA9">
        <w:rPr>
          <w:sz w:val="20"/>
          <w:szCs w:val="20"/>
        </w:rPr>
        <w:t xml:space="preserve">, </w:t>
      </w:r>
      <w:r w:rsidRPr="00A561EF">
        <w:rPr>
          <w:sz w:val="20"/>
          <w:szCs w:val="20"/>
        </w:rPr>
        <w:t xml:space="preserve">threatening </w:t>
      </w:r>
      <w:r w:rsidR="00B21AA9">
        <w:rPr>
          <w:sz w:val="20"/>
          <w:szCs w:val="20"/>
        </w:rPr>
        <w:t>companies’ stability</w:t>
      </w:r>
      <w:r w:rsidRPr="00A561EF">
        <w:rPr>
          <w:sz w:val="20"/>
          <w:szCs w:val="20"/>
        </w:rPr>
        <w:t xml:space="preserve">. </w:t>
      </w:r>
    </w:p>
    <w:p w:rsidR="00D26B2A" w:rsidRPr="00D26B2A" w:rsidP="00D26B2A" w14:paraId="4CA13761" w14:textId="6758797B">
      <w:pPr>
        <w:rPr>
          <w:sz w:val="20"/>
          <w:szCs w:val="20"/>
        </w:rPr>
      </w:pPr>
      <w:r w:rsidRPr="00D26B2A">
        <w:rPr>
          <w:sz w:val="20"/>
          <w:szCs w:val="20"/>
        </w:rPr>
        <w:t xml:space="preserve">To mitigate legal risks in 2025, construction </w:t>
      </w:r>
      <w:r w:rsidR="00AF60CE">
        <w:rPr>
          <w:sz w:val="20"/>
          <w:szCs w:val="20"/>
        </w:rPr>
        <w:t>employers</w:t>
      </w:r>
      <w:r w:rsidRPr="00D26B2A" w:rsidR="00AF60CE">
        <w:rPr>
          <w:sz w:val="20"/>
          <w:szCs w:val="20"/>
        </w:rPr>
        <w:t xml:space="preserve"> </w:t>
      </w:r>
      <w:r w:rsidRPr="00D26B2A">
        <w:rPr>
          <w:sz w:val="20"/>
          <w:szCs w:val="20"/>
        </w:rPr>
        <w:t xml:space="preserve">should consult legal counsel to help them monitor the latest legislative developments and adjust their operations as needed to maintain compliance, especially </w:t>
      </w:r>
      <w:r w:rsidR="0008773E">
        <w:rPr>
          <w:sz w:val="20"/>
          <w:szCs w:val="20"/>
        </w:rPr>
        <w:t>pertaining to</w:t>
      </w:r>
      <w:r w:rsidRPr="00D26B2A">
        <w:rPr>
          <w:sz w:val="20"/>
          <w:szCs w:val="20"/>
        </w:rPr>
        <w:t xml:space="preserve"> building safety standards. </w:t>
      </w:r>
      <w:r w:rsidR="00AF60CE">
        <w:rPr>
          <w:sz w:val="20"/>
          <w:szCs w:val="20"/>
        </w:rPr>
        <w:t>Employers</w:t>
      </w:r>
      <w:r w:rsidRPr="00D26B2A">
        <w:rPr>
          <w:sz w:val="20"/>
          <w:szCs w:val="20"/>
        </w:rPr>
        <w:t xml:space="preserve"> should also review their contract</w:t>
      </w:r>
      <w:r w:rsidR="0008773E">
        <w:rPr>
          <w:sz w:val="20"/>
          <w:szCs w:val="20"/>
        </w:rPr>
        <w:t xml:space="preserve">s, </w:t>
      </w:r>
      <w:r w:rsidRPr="005B3071" w:rsidR="0008773E">
        <w:rPr>
          <w:sz w:val="20"/>
          <w:szCs w:val="20"/>
        </w:rPr>
        <w:t>ensuring</w:t>
      </w:r>
      <w:r w:rsidRPr="005B3071">
        <w:rPr>
          <w:sz w:val="20"/>
          <w:szCs w:val="20"/>
        </w:rPr>
        <w:t xml:space="preserve"> </w:t>
      </w:r>
      <w:r w:rsidRPr="005B3071" w:rsidR="0008773E">
        <w:rPr>
          <w:sz w:val="20"/>
          <w:szCs w:val="20"/>
        </w:rPr>
        <w:t>they</w:t>
      </w:r>
      <w:r w:rsidRPr="005B3071">
        <w:rPr>
          <w:sz w:val="20"/>
          <w:szCs w:val="20"/>
        </w:rPr>
        <w:t xml:space="preserve"> properly </w:t>
      </w:r>
      <w:r w:rsidR="005B3071">
        <w:rPr>
          <w:sz w:val="20"/>
          <w:szCs w:val="20"/>
        </w:rPr>
        <w:t>address</w:t>
      </w:r>
      <w:r w:rsidRPr="005B3071">
        <w:rPr>
          <w:sz w:val="20"/>
          <w:szCs w:val="20"/>
        </w:rPr>
        <w:t xml:space="preserve"> insolvencies and</w:t>
      </w:r>
      <w:r w:rsidRPr="00D26B2A">
        <w:rPr>
          <w:sz w:val="20"/>
          <w:szCs w:val="20"/>
        </w:rPr>
        <w:t xml:space="preserve"> outline steps to limit potential project problems</w:t>
      </w:r>
      <w:r w:rsidR="0008773E">
        <w:rPr>
          <w:sz w:val="20"/>
          <w:szCs w:val="20"/>
        </w:rPr>
        <w:t>.</w:t>
      </w:r>
    </w:p>
    <w:p w:rsidR="00682DF5" w:rsidP="005E6441" w14:paraId="40C85E03" w14:textId="700FE86E">
      <w:pPr>
        <w:spacing w:after="0"/>
        <w:rPr>
          <w:b/>
          <w:bCs/>
          <w:sz w:val="20"/>
          <w:szCs w:val="20"/>
        </w:rPr>
      </w:pPr>
      <w:r>
        <w:rPr>
          <w:b/>
          <w:bCs/>
          <w:sz w:val="20"/>
          <w:szCs w:val="20"/>
        </w:rPr>
        <w:t>Insurance Claim Concerns</w:t>
      </w:r>
    </w:p>
    <w:p w:rsidR="005604AB" w:rsidP="005604AB" w14:paraId="02399B20" w14:textId="59BD597B">
      <w:pPr>
        <w:rPr>
          <w:sz w:val="20"/>
          <w:szCs w:val="20"/>
        </w:rPr>
      </w:pPr>
      <w:r w:rsidRPr="005604AB">
        <w:rPr>
          <w:sz w:val="20"/>
          <w:szCs w:val="20"/>
        </w:rPr>
        <w:t xml:space="preserve">As social inflation drives up the cost of insurance claims, </w:t>
      </w:r>
      <w:r w:rsidRPr="005604AB" w:rsidR="00B37BD9">
        <w:rPr>
          <w:sz w:val="20"/>
          <w:szCs w:val="20"/>
        </w:rPr>
        <w:t xml:space="preserve">verdict amounts have surged. </w:t>
      </w:r>
      <w:r w:rsidRPr="005604AB">
        <w:rPr>
          <w:sz w:val="20"/>
          <w:szCs w:val="20"/>
        </w:rPr>
        <w:t xml:space="preserve">Several factors have contributed to this increase and subsequent insurance claim expenses, including rising litigation funding, desensitization to large verdicts, changes in the legal environment and shifting public sentiment toward businesses. </w:t>
      </w:r>
      <w:r w:rsidRPr="004354EA" w:rsidR="004354EA">
        <w:rPr>
          <w:sz w:val="20"/>
          <w:szCs w:val="20"/>
        </w:rPr>
        <w:t xml:space="preserve">Aside from </w:t>
      </w:r>
      <w:r w:rsidR="00F87946">
        <w:rPr>
          <w:sz w:val="20"/>
          <w:szCs w:val="20"/>
        </w:rPr>
        <w:t>large</w:t>
      </w:r>
      <w:r w:rsidRPr="004354EA" w:rsidR="004354EA">
        <w:rPr>
          <w:sz w:val="20"/>
          <w:szCs w:val="20"/>
        </w:rPr>
        <w:t xml:space="preserve"> verdicts, </w:t>
      </w:r>
      <w:r w:rsidR="004354EA">
        <w:rPr>
          <w:sz w:val="20"/>
          <w:szCs w:val="20"/>
        </w:rPr>
        <w:t xml:space="preserve">increased </w:t>
      </w:r>
      <w:r w:rsidRPr="004354EA" w:rsidR="004354EA">
        <w:rPr>
          <w:sz w:val="20"/>
          <w:szCs w:val="20"/>
        </w:rPr>
        <w:t>project disputes ha</w:t>
      </w:r>
      <w:r w:rsidR="004354EA">
        <w:rPr>
          <w:sz w:val="20"/>
          <w:szCs w:val="20"/>
        </w:rPr>
        <w:t>ve</w:t>
      </w:r>
      <w:r w:rsidRPr="004354EA" w:rsidR="004354EA">
        <w:rPr>
          <w:sz w:val="20"/>
          <w:szCs w:val="20"/>
        </w:rPr>
        <w:t xml:space="preserve"> exacerbated insurance claim costs. These disputes</w:t>
      </w:r>
      <w:r w:rsidR="004354EA">
        <w:rPr>
          <w:sz w:val="20"/>
          <w:szCs w:val="20"/>
        </w:rPr>
        <w:t xml:space="preserve"> </w:t>
      </w:r>
      <w:r w:rsidRPr="004354EA" w:rsidR="004354EA">
        <w:rPr>
          <w:sz w:val="20"/>
          <w:szCs w:val="20"/>
        </w:rPr>
        <w:t xml:space="preserve">have </w:t>
      </w:r>
      <w:r w:rsidR="00F87946">
        <w:rPr>
          <w:sz w:val="20"/>
          <w:szCs w:val="20"/>
        </w:rPr>
        <w:t>arisen</w:t>
      </w:r>
      <w:r w:rsidRPr="004354EA" w:rsidR="004354EA">
        <w:rPr>
          <w:sz w:val="20"/>
          <w:szCs w:val="20"/>
        </w:rPr>
        <w:t xml:space="preserve"> from </w:t>
      </w:r>
      <w:r w:rsidR="00876847">
        <w:rPr>
          <w:sz w:val="20"/>
          <w:szCs w:val="20"/>
        </w:rPr>
        <w:t>several scenarios</w:t>
      </w:r>
      <w:r w:rsidR="00AF60CE">
        <w:rPr>
          <w:sz w:val="20"/>
          <w:szCs w:val="20"/>
        </w:rPr>
        <w:t>,</w:t>
      </w:r>
      <w:r w:rsidR="00876847">
        <w:rPr>
          <w:sz w:val="20"/>
          <w:szCs w:val="20"/>
        </w:rPr>
        <w:t xml:space="preserve"> including the</w:t>
      </w:r>
      <w:r w:rsidRPr="004354EA" w:rsidR="004354EA">
        <w:rPr>
          <w:sz w:val="20"/>
          <w:szCs w:val="20"/>
        </w:rPr>
        <w:t xml:space="preserve"> remediation of defective operations and faulty work, building safety issues and insolvency-related failures. </w:t>
      </w:r>
    </w:p>
    <w:p w:rsidR="001A3E8D" w:rsidP="00141E58" w14:paraId="2470B980" w14:textId="311AFB9E">
      <w:pPr>
        <w:rPr>
          <w:sz w:val="20"/>
          <w:szCs w:val="20"/>
        </w:rPr>
      </w:pPr>
      <w:r>
        <w:rPr>
          <w:sz w:val="20"/>
          <w:szCs w:val="20"/>
        </w:rPr>
        <w:t>Employers</w:t>
      </w:r>
      <w:r w:rsidRPr="00141E58">
        <w:rPr>
          <w:sz w:val="20"/>
          <w:szCs w:val="20"/>
        </w:rPr>
        <w:t xml:space="preserve"> </w:t>
      </w:r>
      <w:r w:rsidRPr="00141E58">
        <w:rPr>
          <w:sz w:val="20"/>
          <w:szCs w:val="20"/>
        </w:rPr>
        <w:t xml:space="preserve">should better understand how to prevent these issues. Some strategies to consider include </w:t>
      </w:r>
      <w:r w:rsidRPr="00DB4066">
        <w:rPr>
          <w:sz w:val="20"/>
          <w:szCs w:val="20"/>
        </w:rPr>
        <w:t>adhering to</w:t>
      </w:r>
      <w:r w:rsidRPr="00DB4066" w:rsidR="003246A7">
        <w:rPr>
          <w:sz w:val="20"/>
          <w:szCs w:val="20"/>
        </w:rPr>
        <w:t xml:space="preserve"> </w:t>
      </w:r>
      <w:r w:rsidRPr="00DB4066">
        <w:rPr>
          <w:sz w:val="20"/>
          <w:szCs w:val="20"/>
        </w:rPr>
        <w:t>eco-friendly building pr</w:t>
      </w:r>
      <w:r w:rsidRPr="00DB4066" w:rsidR="00DB4066">
        <w:rPr>
          <w:sz w:val="20"/>
          <w:szCs w:val="20"/>
        </w:rPr>
        <w:t>inciples, following building regulations and industry best practices</w:t>
      </w:r>
      <w:r w:rsidRPr="00DB4066">
        <w:rPr>
          <w:sz w:val="20"/>
          <w:szCs w:val="20"/>
        </w:rPr>
        <w:t>, providing</w:t>
      </w:r>
      <w:r w:rsidRPr="00DB4066" w:rsidR="00141E58">
        <w:rPr>
          <w:sz w:val="20"/>
          <w:szCs w:val="20"/>
        </w:rPr>
        <w:t xml:space="preserve"> </w:t>
      </w:r>
      <w:r w:rsidRPr="00DB4066">
        <w:rPr>
          <w:sz w:val="20"/>
          <w:szCs w:val="20"/>
        </w:rPr>
        <w:t>worksite supervision</w:t>
      </w:r>
      <w:r w:rsidRPr="00DB4066" w:rsidR="00DB4066">
        <w:rPr>
          <w:sz w:val="20"/>
          <w:szCs w:val="20"/>
        </w:rPr>
        <w:t>, conducting regular employee safety education and training, vetting potential employees</w:t>
      </w:r>
      <w:r w:rsidRPr="00DB4066">
        <w:rPr>
          <w:sz w:val="20"/>
          <w:szCs w:val="20"/>
        </w:rPr>
        <w:t xml:space="preserve"> and u</w:t>
      </w:r>
      <w:r w:rsidRPr="00DB4066" w:rsidR="00DB4066">
        <w:rPr>
          <w:sz w:val="20"/>
          <w:szCs w:val="20"/>
        </w:rPr>
        <w:t>sing</w:t>
      </w:r>
      <w:r w:rsidRPr="00DB4066">
        <w:rPr>
          <w:sz w:val="20"/>
          <w:szCs w:val="20"/>
        </w:rPr>
        <w:t xml:space="preserve"> technology to promote safe driving.</w:t>
      </w:r>
    </w:p>
    <w:p w:rsidR="00141E58" w:rsidRPr="00141E58" w:rsidP="00BF7FA2" w14:paraId="622401FC" w14:textId="6A922C4D">
      <w:pPr>
        <w:spacing w:after="0"/>
        <w:rPr>
          <w:b/>
          <w:bCs/>
          <w:sz w:val="20"/>
          <w:szCs w:val="20"/>
        </w:rPr>
      </w:pPr>
      <w:r>
        <w:rPr>
          <w:b/>
          <w:bCs/>
          <w:sz w:val="20"/>
          <w:szCs w:val="20"/>
        </w:rPr>
        <w:t>Extreme Weather Events and Wildfires</w:t>
      </w:r>
    </w:p>
    <w:p w:rsidR="00621425" w:rsidP="00621425" w14:paraId="0C6B58BD" w14:textId="791E5725">
      <w:pPr>
        <w:rPr>
          <w:sz w:val="20"/>
          <w:szCs w:val="20"/>
        </w:rPr>
      </w:pPr>
      <w:r>
        <w:rPr>
          <w:sz w:val="20"/>
          <w:szCs w:val="20"/>
        </w:rPr>
        <w:t>The occurrences of n</w:t>
      </w:r>
      <w:r w:rsidR="00376BFA">
        <w:rPr>
          <w:sz w:val="20"/>
          <w:szCs w:val="20"/>
        </w:rPr>
        <w:t>atural disasters</w:t>
      </w:r>
      <w:r w:rsidRPr="00BF7FA2" w:rsidR="00BF7FA2">
        <w:rPr>
          <w:sz w:val="20"/>
          <w:szCs w:val="20"/>
        </w:rPr>
        <w:t xml:space="preserve"> have skyrocketed </w:t>
      </w:r>
      <w:r w:rsidR="00BF7FA2">
        <w:rPr>
          <w:sz w:val="20"/>
          <w:szCs w:val="20"/>
        </w:rPr>
        <w:t>recently</w:t>
      </w:r>
      <w:r w:rsidRPr="00BF7FA2" w:rsidR="00BF7FA2">
        <w:rPr>
          <w:sz w:val="20"/>
          <w:szCs w:val="20"/>
        </w:rPr>
        <w:t xml:space="preserve">, causing widespread </w:t>
      </w:r>
      <w:r w:rsidRPr="00621425" w:rsidR="00BF7FA2">
        <w:rPr>
          <w:sz w:val="20"/>
          <w:szCs w:val="20"/>
        </w:rPr>
        <w:t>damage</w:t>
      </w:r>
      <w:r w:rsidRPr="00621425" w:rsidR="00E25B8A">
        <w:rPr>
          <w:sz w:val="20"/>
          <w:szCs w:val="20"/>
        </w:rPr>
        <w:t>.</w:t>
      </w:r>
      <w:r>
        <w:rPr>
          <w:sz w:val="20"/>
          <w:szCs w:val="20"/>
        </w:rPr>
        <w:t xml:space="preserve"> </w:t>
      </w:r>
      <w:r w:rsidR="00A6363C">
        <w:rPr>
          <w:sz w:val="20"/>
          <w:szCs w:val="20"/>
        </w:rPr>
        <w:t>S</w:t>
      </w:r>
      <w:r w:rsidRPr="00621425">
        <w:rPr>
          <w:sz w:val="20"/>
          <w:szCs w:val="20"/>
        </w:rPr>
        <w:t>uch events</w:t>
      </w:r>
      <w:r w:rsidR="00A6363C">
        <w:rPr>
          <w:sz w:val="20"/>
          <w:szCs w:val="20"/>
        </w:rPr>
        <w:t xml:space="preserve"> (e.g., floods, </w:t>
      </w:r>
      <w:r w:rsidR="00376BFA">
        <w:rPr>
          <w:sz w:val="20"/>
          <w:szCs w:val="20"/>
        </w:rPr>
        <w:t>wildfires</w:t>
      </w:r>
      <w:r w:rsidR="007B69D1">
        <w:rPr>
          <w:sz w:val="20"/>
          <w:szCs w:val="20"/>
        </w:rPr>
        <w:t xml:space="preserve"> and hurricanes)</w:t>
      </w:r>
      <w:r w:rsidRPr="00621425">
        <w:rPr>
          <w:sz w:val="20"/>
          <w:szCs w:val="20"/>
        </w:rPr>
        <w:t xml:space="preserve"> can destroy construction materials, tools</w:t>
      </w:r>
      <w:r w:rsidR="007B69D1">
        <w:rPr>
          <w:sz w:val="20"/>
          <w:szCs w:val="20"/>
        </w:rPr>
        <w:t xml:space="preserve"> and</w:t>
      </w:r>
      <w:r w:rsidRPr="00621425">
        <w:rPr>
          <w:sz w:val="20"/>
          <w:szCs w:val="20"/>
        </w:rPr>
        <w:t xml:space="preserve"> equipment, making projects </w:t>
      </w:r>
      <w:r w:rsidR="007B69D1">
        <w:rPr>
          <w:sz w:val="20"/>
          <w:szCs w:val="20"/>
        </w:rPr>
        <w:t xml:space="preserve">more </w:t>
      </w:r>
      <w:r w:rsidRPr="00621425">
        <w:rPr>
          <w:sz w:val="20"/>
          <w:szCs w:val="20"/>
        </w:rPr>
        <w:t xml:space="preserve">costly and </w:t>
      </w:r>
      <w:r w:rsidR="007B69D1">
        <w:rPr>
          <w:sz w:val="20"/>
          <w:szCs w:val="20"/>
        </w:rPr>
        <w:t>prolonging</w:t>
      </w:r>
      <w:r w:rsidRPr="00621425">
        <w:rPr>
          <w:sz w:val="20"/>
          <w:szCs w:val="20"/>
        </w:rPr>
        <w:t xml:space="preserve"> completion dates. </w:t>
      </w:r>
      <w:r w:rsidR="007B69D1">
        <w:rPr>
          <w:sz w:val="20"/>
          <w:szCs w:val="20"/>
        </w:rPr>
        <w:t>Additionally</w:t>
      </w:r>
      <w:r w:rsidRPr="00621425">
        <w:rPr>
          <w:sz w:val="20"/>
          <w:szCs w:val="20"/>
        </w:rPr>
        <w:t xml:space="preserve">, the increasing prevalence and rising costs of these events have </w:t>
      </w:r>
      <w:r w:rsidR="003412DC">
        <w:rPr>
          <w:sz w:val="20"/>
          <w:szCs w:val="20"/>
        </w:rPr>
        <w:t>caused</w:t>
      </w:r>
      <w:r w:rsidRPr="00621425">
        <w:rPr>
          <w:sz w:val="20"/>
          <w:szCs w:val="20"/>
        </w:rPr>
        <w:t xml:space="preserve"> insurers to limit their coverage offerings for businesses in </w:t>
      </w:r>
      <w:r w:rsidR="00D3067B">
        <w:rPr>
          <w:sz w:val="20"/>
          <w:szCs w:val="20"/>
        </w:rPr>
        <w:t>certain</w:t>
      </w:r>
      <w:r w:rsidRPr="00621425">
        <w:rPr>
          <w:sz w:val="20"/>
          <w:szCs w:val="20"/>
        </w:rPr>
        <w:t xml:space="preserve"> areas</w:t>
      </w:r>
      <w:r w:rsidR="003412DC">
        <w:rPr>
          <w:sz w:val="20"/>
          <w:szCs w:val="20"/>
        </w:rPr>
        <w:t xml:space="preserve">, leaving </w:t>
      </w:r>
      <w:r w:rsidRPr="00621425">
        <w:rPr>
          <w:sz w:val="20"/>
          <w:szCs w:val="20"/>
        </w:rPr>
        <w:t xml:space="preserve">some construction companies </w:t>
      </w:r>
      <w:r w:rsidR="00D3067B">
        <w:rPr>
          <w:sz w:val="20"/>
          <w:szCs w:val="20"/>
        </w:rPr>
        <w:t>underinsured</w:t>
      </w:r>
      <w:r w:rsidRPr="009012B3">
        <w:rPr>
          <w:sz w:val="20"/>
          <w:szCs w:val="20"/>
        </w:rPr>
        <w:t>.</w:t>
      </w:r>
      <w:r w:rsidRPr="009012B3" w:rsidR="00BB3BCD">
        <w:rPr>
          <w:sz w:val="20"/>
          <w:szCs w:val="20"/>
        </w:rPr>
        <w:t xml:space="preserve"> </w:t>
      </w:r>
      <w:r w:rsidR="00A8002C">
        <w:rPr>
          <w:sz w:val="20"/>
          <w:szCs w:val="20"/>
        </w:rPr>
        <w:t>These</w:t>
      </w:r>
      <w:r w:rsidRPr="009012B3" w:rsidR="00BB3BCD">
        <w:rPr>
          <w:sz w:val="20"/>
          <w:szCs w:val="20"/>
        </w:rPr>
        <w:t xml:space="preserve"> events can </w:t>
      </w:r>
      <w:r w:rsidR="00D3067B">
        <w:rPr>
          <w:sz w:val="20"/>
          <w:szCs w:val="20"/>
        </w:rPr>
        <w:t>also cause</w:t>
      </w:r>
      <w:r w:rsidRPr="009012B3" w:rsidR="00BB3BCD">
        <w:rPr>
          <w:sz w:val="20"/>
          <w:szCs w:val="20"/>
        </w:rPr>
        <w:t xml:space="preserve"> </w:t>
      </w:r>
      <w:r w:rsidRPr="009012B3" w:rsidR="00A770E5">
        <w:rPr>
          <w:sz w:val="20"/>
          <w:szCs w:val="20"/>
        </w:rPr>
        <w:t xml:space="preserve">safety </w:t>
      </w:r>
      <w:r w:rsidR="00D3067B">
        <w:rPr>
          <w:sz w:val="20"/>
          <w:szCs w:val="20"/>
        </w:rPr>
        <w:t>issue</w:t>
      </w:r>
      <w:r w:rsidRPr="009012B3" w:rsidR="007D7370">
        <w:rPr>
          <w:sz w:val="20"/>
          <w:szCs w:val="20"/>
        </w:rPr>
        <w:t>s</w:t>
      </w:r>
      <w:r w:rsidRPr="009012B3" w:rsidR="00A770E5">
        <w:rPr>
          <w:sz w:val="20"/>
          <w:szCs w:val="20"/>
        </w:rPr>
        <w:t xml:space="preserve"> and </w:t>
      </w:r>
      <w:r w:rsidR="00D3067B">
        <w:rPr>
          <w:sz w:val="20"/>
          <w:szCs w:val="20"/>
        </w:rPr>
        <w:t xml:space="preserve">costly </w:t>
      </w:r>
      <w:r w:rsidRPr="009012B3" w:rsidR="00BB3BCD">
        <w:rPr>
          <w:sz w:val="20"/>
          <w:szCs w:val="20"/>
        </w:rPr>
        <w:t xml:space="preserve">supply chain </w:t>
      </w:r>
      <w:r w:rsidRPr="009012B3" w:rsidR="00A770E5">
        <w:rPr>
          <w:sz w:val="20"/>
          <w:szCs w:val="20"/>
        </w:rPr>
        <w:t>disruptions</w:t>
      </w:r>
      <w:r w:rsidR="00A8002C">
        <w:rPr>
          <w:sz w:val="20"/>
          <w:szCs w:val="20"/>
        </w:rPr>
        <w:t>.</w:t>
      </w:r>
    </w:p>
    <w:p w:rsidR="00D3067B" w:rsidP="00BF7FA2" w14:paraId="184F682D" w14:textId="12596932">
      <w:pPr>
        <w:rPr>
          <w:sz w:val="20"/>
          <w:szCs w:val="20"/>
        </w:rPr>
      </w:pPr>
      <w:r>
        <w:rPr>
          <w:sz w:val="20"/>
          <w:szCs w:val="20"/>
        </w:rPr>
        <w:t>E</w:t>
      </w:r>
      <w:r w:rsidRPr="001D79D6" w:rsidR="001D79D6">
        <w:rPr>
          <w:sz w:val="20"/>
          <w:szCs w:val="20"/>
        </w:rPr>
        <w:t xml:space="preserve">xperts anticipate extreme weather events will </w:t>
      </w:r>
      <w:r w:rsidR="001D79D6">
        <w:rPr>
          <w:sz w:val="20"/>
          <w:szCs w:val="20"/>
        </w:rPr>
        <w:t>worsen</w:t>
      </w:r>
      <w:r w:rsidR="00AF60CE">
        <w:rPr>
          <w:sz w:val="20"/>
          <w:szCs w:val="20"/>
        </w:rPr>
        <w:t>,</w:t>
      </w:r>
      <w:r w:rsidR="0086741F">
        <w:rPr>
          <w:sz w:val="20"/>
          <w:szCs w:val="20"/>
        </w:rPr>
        <w:t xml:space="preserve"> so </w:t>
      </w:r>
      <w:r w:rsidRPr="001D79D6" w:rsidR="001D79D6">
        <w:rPr>
          <w:sz w:val="20"/>
          <w:szCs w:val="20"/>
        </w:rPr>
        <w:t xml:space="preserve">construction </w:t>
      </w:r>
      <w:r w:rsidR="00AF60CE">
        <w:rPr>
          <w:sz w:val="20"/>
          <w:szCs w:val="20"/>
        </w:rPr>
        <w:t>employers</w:t>
      </w:r>
      <w:r w:rsidRPr="001D79D6" w:rsidR="00AF60CE">
        <w:rPr>
          <w:sz w:val="20"/>
          <w:szCs w:val="20"/>
        </w:rPr>
        <w:t xml:space="preserve"> </w:t>
      </w:r>
      <w:r w:rsidRPr="001D79D6" w:rsidR="001D79D6">
        <w:rPr>
          <w:sz w:val="20"/>
          <w:szCs w:val="20"/>
        </w:rPr>
        <w:t xml:space="preserve">should enhance their preparedness and reduce related risks. Key steps to implement include selecting safe storage areas for tools and equipment, </w:t>
      </w:r>
      <w:r w:rsidR="00D501BB">
        <w:rPr>
          <w:sz w:val="20"/>
          <w:szCs w:val="20"/>
        </w:rPr>
        <w:t>using</w:t>
      </w:r>
      <w:r w:rsidRPr="001D79D6" w:rsidR="001D79D6">
        <w:rPr>
          <w:sz w:val="20"/>
          <w:szCs w:val="20"/>
        </w:rPr>
        <w:t xml:space="preserve"> weather-resistant building products, maintaining a</w:t>
      </w:r>
      <w:r w:rsidR="00D501BB">
        <w:rPr>
          <w:sz w:val="20"/>
          <w:szCs w:val="20"/>
        </w:rPr>
        <w:t xml:space="preserve"> </w:t>
      </w:r>
      <w:r w:rsidRPr="001D79D6" w:rsidR="001D79D6">
        <w:rPr>
          <w:sz w:val="20"/>
          <w:szCs w:val="20"/>
        </w:rPr>
        <w:t>reserve of essential materials, diversifying supply chains, developing contingency plans, adopting</w:t>
      </w:r>
      <w:r w:rsidR="00D501BB">
        <w:rPr>
          <w:sz w:val="20"/>
          <w:szCs w:val="20"/>
        </w:rPr>
        <w:t xml:space="preserve"> </w:t>
      </w:r>
      <w:r w:rsidR="00085F6C">
        <w:rPr>
          <w:sz w:val="20"/>
          <w:szCs w:val="20"/>
        </w:rPr>
        <w:t xml:space="preserve">related </w:t>
      </w:r>
      <w:r w:rsidRPr="001D79D6" w:rsidR="001D79D6">
        <w:rPr>
          <w:sz w:val="20"/>
          <w:szCs w:val="20"/>
        </w:rPr>
        <w:t xml:space="preserve">occupational safety programs </w:t>
      </w:r>
      <w:r w:rsidR="00085F6C">
        <w:rPr>
          <w:sz w:val="20"/>
          <w:szCs w:val="20"/>
        </w:rPr>
        <w:t xml:space="preserve">(e.g., </w:t>
      </w:r>
      <w:r w:rsidR="00782C26">
        <w:rPr>
          <w:sz w:val="20"/>
          <w:szCs w:val="20"/>
        </w:rPr>
        <w:t xml:space="preserve">those for </w:t>
      </w:r>
      <w:r w:rsidRPr="001D79D6" w:rsidR="001D79D6">
        <w:rPr>
          <w:sz w:val="20"/>
          <w:szCs w:val="20"/>
        </w:rPr>
        <w:t>heat-related injuries and illnesses</w:t>
      </w:r>
      <w:r w:rsidR="00085F6C">
        <w:rPr>
          <w:sz w:val="20"/>
          <w:szCs w:val="20"/>
        </w:rPr>
        <w:t>)</w:t>
      </w:r>
      <w:r w:rsidRPr="001D79D6" w:rsidR="001D79D6">
        <w:rPr>
          <w:sz w:val="20"/>
          <w:szCs w:val="20"/>
        </w:rPr>
        <w:t>, and documenting natural disaster preparedness strategies for insurers.</w:t>
      </w:r>
      <w:r w:rsidR="00AD6A4C">
        <w:rPr>
          <w:sz w:val="20"/>
          <w:szCs w:val="20"/>
        </w:rPr>
        <w:t xml:space="preserve"> </w:t>
      </w:r>
    </w:p>
    <w:p w:rsidR="00F7219B" w:rsidRPr="00AD6A4C" w:rsidP="00BF7FA2" w14:paraId="64C3258D" w14:textId="4DF78C68">
      <w:pPr>
        <w:rPr>
          <w:sz w:val="20"/>
          <w:szCs w:val="20"/>
        </w:rPr>
      </w:pPr>
      <w:r w:rsidRPr="005E6441">
        <w:rPr>
          <w:sz w:val="20"/>
          <w:szCs w:val="20"/>
        </w:rPr>
        <w:t xml:space="preserve">By mitigating </w:t>
      </w:r>
      <w:r w:rsidR="00EF320E">
        <w:rPr>
          <w:sz w:val="20"/>
          <w:szCs w:val="20"/>
        </w:rPr>
        <w:t xml:space="preserve">trend-related </w:t>
      </w:r>
      <w:r w:rsidRPr="005E6441">
        <w:rPr>
          <w:sz w:val="20"/>
          <w:szCs w:val="20"/>
        </w:rPr>
        <w:t xml:space="preserve">exposures, construction </w:t>
      </w:r>
      <w:r w:rsidR="00AF60CE">
        <w:rPr>
          <w:sz w:val="20"/>
          <w:szCs w:val="20"/>
        </w:rPr>
        <w:t>employers</w:t>
      </w:r>
      <w:r w:rsidRPr="005E6441" w:rsidR="00AF60CE">
        <w:rPr>
          <w:sz w:val="20"/>
          <w:szCs w:val="20"/>
        </w:rPr>
        <w:t xml:space="preserve"> </w:t>
      </w:r>
      <w:r w:rsidRPr="005E6441">
        <w:rPr>
          <w:sz w:val="20"/>
          <w:szCs w:val="20"/>
        </w:rPr>
        <w:t xml:space="preserve">can position </w:t>
      </w:r>
      <w:r w:rsidR="00AF60CE">
        <w:rPr>
          <w:sz w:val="20"/>
          <w:szCs w:val="20"/>
        </w:rPr>
        <w:t>their businesses</w:t>
      </w:r>
      <w:r w:rsidRPr="005E6441" w:rsidR="00AF60CE">
        <w:rPr>
          <w:sz w:val="20"/>
          <w:szCs w:val="20"/>
        </w:rPr>
        <w:t xml:space="preserve"> </w:t>
      </w:r>
      <w:r w:rsidRPr="005E6441">
        <w:rPr>
          <w:sz w:val="20"/>
          <w:szCs w:val="20"/>
        </w:rPr>
        <w:t xml:space="preserve">to promote long-term growth and boost operational success. </w:t>
      </w:r>
      <w:r w:rsidR="00EF320E">
        <w:rPr>
          <w:sz w:val="20"/>
          <w:szCs w:val="20"/>
        </w:rPr>
        <w:t>Contact us for more information.</w:t>
      </w:r>
    </w:p>
    <w:sectPr w:rsidSect="001C22E1">
      <w:headerReference w:type="default" r:id="rId8"/>
      <w:footerReference w:type="default" r:id="rId9"/>
      <w:footerReference w:type="first" r:id="rId10"/>
      <w:pgSz w:w="12240" w:h="15840"/>
      <w:pgMar w:top="3024" w:right="720" w:bottom="720" w:left="720" w:header="144" w:footer="0" w:gutter="0"/>
      <w:cols w:num="2"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66A0" w:rsidP="001366A0" w14:paraId="5F670626" w14:textId="77777777">
    <w:pPr>
      <w:pStyle w:val="PageNum"/>
      <w:spacing w:before="120" w:after="120"/>
    </w:pPr>
    <w:r>
      <w:t xml:space="preserve">This document is not intended to be an exhaustive source of </w:t>
    </w:r>
    <w:r>
      <w:t>information</w:t>
    </w:r>
    <w:r>
      <w:t xml:space="preserve"> nor should any discussion or opinions be construed as legal advice. Readers should consult legal counsel or a licensed insurance professional for appropriate advice. © 2025 </w:t>
    </w:r>
    <w:r>
      <w:t>Zywave</w:t>
    </w:r>
    <w:r>
      <w:t>, Inc. All rights reserved.</w:t>
    </w:r>
  </w:p>
  <w:p w:rsidR="001366A0" w:rsidP="001366A0" w14:paraId="0E63C3EA" w14:textId="77777777">
    <w:pPr>
      <w:pStyle w:val="PageNum"/>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2E6C" w14:paraId="00F9CB73" w14:textId="77777777">
    <w:pPr>
      <w:pStyle w:val="Footer"/>
    </w:pPr>
    <w:r>
      <w:rPr>
        <w:noProof/>
      </w:rPr>
      <w:drawing>
        <wp:anchor distT="0" distB="0" distL="114300" distR="114300" simplePos="0" relativeHeight="251658240" behindDoc="1" locked="0" layoutInCell="1" allowOverlap="1">
          <wp:simplePos x="0" y="0"/>
          <wp:positionH relativeFrom="column">
            <wp:posOffset>-428625</wp:posOffset>
          </wp:positionH>
          <wp:positionV relativeFrom="paragraph">
            <wp:posOffset>1677035</wp:posOffset>
          </wp:positionV>
          <wp:extent cx="7781290" cy="10067290"/>
          <wp:effectExtent l="0" t="0" r="0" b="0"/>
          <wp:wrapNone/>
          <wp:docPr id="52373596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735968" name="Picture 79692133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81290" cy="10067290"/>
                  </a:xfrm>
                  <a:prstGeom prst="rect">
                    <a:avLst/>
                  </a:prstGeom>
                </pic:spPr>
              </pic:pic>
            </a:graphicData>
          </a:graphic>
          <wp14:sizeRelH relativeFrom="margin">
            <wp14:pctWidth>0</wp14:pctWidth>
          </wp14:sizeRelH>
          <wp14:sizeRelV relativeFrom="margin">
            <wp14:pctHeight>0</wp14:pctHeight>
          </wp14:sizeRelV>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66A0" w14:paraId="77874403" w14:textId="77777777">
    <w:pPr>
      <w:pStyle w:val="Header"/>
    </w:pPr>
    <w:r>
      <w:rPr>
        <w:noProof/>
      </w:rPr>
      <w:drawing>
        <wp:anchor distT="0" distB="0" distL="114300" distR="114300" simplePos="0" relativeHeight="251660288" behindDoc="0" locked="1" layoutInCell="1" allowOverlap="1">
          <wp:simplePos x="0" y="0"/>
          <wp:positionH relativeFrom="page">
            <wp:posOffset>635</wp:posOffset>
          </wp:positionH>
          <wp:positionV relativeFrom="page">
            <wp:posOffset>0</wp:posOffset>
          </wp:positionV>
          <wp:extent cx="7784465" cy="1910715"/>
          <wp:effectExtent l="0" t="0" r="6985" b="0"/>
          <wp:wrapNone/>
          <wp:docPr id="14507844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784498" name="Picture 4"/>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84465" cy="1910715"/>
                  </a:xfrm>
                  <a:prstGeom prst="rect">
                    <a:avLst/>
                  </a:prstGeom>
                </pic:spPr>
              </pic:pic>
            </a:graphicData>
          </a:graphic>
          <wp14:sizeRelV relativeFrom="margin">
            <wp14:pctHeight>0</wp14:pctHeight>
          </wp14:sizeRelV>
        </wp:anchor>
      </w:drawing>
    </w:r>
    <w:r>
      <w:rPr>
        <w:noProof/>
      </w:rPr>
      <mc:AlternateContent>
        <mc:Choice Requires="wps">
          <w:drawing>
            <wp:anchor distT="45720" distB="45720" distL="114300" distR="114300" simplePos="0" relativeHeight="251661312" behindDoc="0" locked="1" layoutInCell="1" allowOverlap="1">
              <wp:simplePos x="0" y="0"/>
              <wp:positionH relativeFrom="margin">
                <wp:posOffset>0</wp:posOffset>
              </wp:positionH>
              <wp:positionV relativeFrom="page">
                <wp:posOffset>1371600</wp:posOffset>
              </wp:positionV>
              <wp:extent cx="1572768" cy="310896"/>
              <wp:effectExtent l="0" t="0" r="0" b="0"/>
              <wp:wrapNone/>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72768" cy="310896"/>
                      </a:xfrm>
                      <a:prstGeom prst="rect">
                        <a:avLst/>
                      </a:prstGeom>
                      <a:noFill/>
                      <a:ln w="9525">
                        <a:noFill/>
                        <a:miter lim="800000"/>
                        <a:headEnd/>
                        <a:tailEnd/>
                      </a:ln>
                    </wps:spPr>
                    <wps:txbx>
                      <w:txbxContent>
                        <w:p w:rsidR="001366A0" w:rsidRPr="001A120E" w:rsidP="001366A0" w14:textId="60DDD050">
                          <w:pPr>
                            <w:pStyle w:val="Header"/>
                            <w:jc w:val="center"/>
                            <w:rPr>
                              <w:b w:val="0"/>
                              <w:sz w:val="24"/>
                              <w:szCs w:val="24"/>
                            </w:rPr>
                          </w:pPr>
                          <w:r>
                            <w:rPr>
                              <w:sz w:val="24"/>
                              <w:szCs w:val="24"/>
                            </w:rPr>
                            <w:t>March</w:t>
                          </w:r>
                          <w:r w:rsidRPr="001A120E">
                            <w:rPr>
                              <w:sz w:val="24"/>
                              <w:szCs w:val="24"/>
                            </w:rPr>
                            <w:t xml:space="preserve"> 202</w:t>
                          </w:r>
                          <w:r>
                            <w:rPr>
                              <w:sz w:val="24"/>
                              <w:szCs w:val="24"/>
                            </w:rPr>
                            <w:t>5</w:t>
                          </w:r>
                        </w:p>
                        <w:p w:rsidR="001366A0" w:rsidP="001366A0" w14:textId="77777777">
                          <w:pPr>
                            <w:jc w:val="cente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23.85pt;height:24.5pt;margin-top:108pt;margin-left:0;mso-height-percent:0;mso-height-relative:margin;mso-position-horizontal-relative:margin;mso-position-vertical-relative:page;mso-width-percent:0;mso-width-relative:margin;mso-wrap-distance-bottom:3.6pt;mso-wrap-distance-left:9pt;mso-wrap-distance-right:9pt;mso-wrap-distance-top:3.6pt;mso-wrap-style:square;position:absolute;v-text-anchor:top;visibility:visible;z-index:251662336" filled="f" stroked="f">
              <v:textbox>
                <w:txbxContent>
                  <w:p w:rsidR="001366A0" w:rsidRPr="001A120E" w:rsidP="001366A0" w14:paraId="42DE227F" w14:textId="60DDD050">
                    <w:pPr>
                      <w:pStyle w:val="Header"/>
                      <w:jc w:val="center"/>
                      <w:rPr>
                        <w:b w:val="0"/>
                        <w:sz w:val="24"/>
                        <w:szCs w:val="24"/>
                      </w:rPr>
                    </w:pPr>
                    <w:r>
                      <w:rPr>
                        <w:sz w:val="24"/>
                        <w:szCs w:val="24"/>
                      </w:rPr>
                      <w:t>March</w:t>
                    </w:r>
                    <w:r w:rsidRPr="001A120E">
                      <w:rPr>
                        <w:sz w:val="24"/>
                        <w:szCs w:val="24"/>
                      </w:rPr>
                      <w:t xml:space="preserve"> 202</w:t>
                    </w:r>
                    <w:r>
                      <w:rPr>
                        <w:sz w:val="24"/>
                        <w:szCs w:val="24"/>
                      </w:rPr>
                      <w:t>5</w:t>
                    </w:r>
                  </w:p>
                  <w:p w:rsidR="001366A0" w:rsidP="001366A0" w14:paraId="5EDE41F8" w14:textId="77777777">
                    <w:pPr>
                      <w:jc w:val="center"/>
                    </w:pPr>
                  </w:p>
                </w:txbxContent>
              </v:textbox>
              <w10:wrap anchorx="margin"/>
              <w10:anchorlock/>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column">
                <wp:posOffset>-466725</wp:posOffset>
              </wp:positionH>
              <wp:positionV relativeFrom="paragraph">
                <wp:posOffset>-81915</wp:posOffset>
              </wp:positionV>
              <wp:extent cx="8620125" cy="1666875"/>
              <wp:effectExtent l="0" t="0" r="9525" b="9525"/>
              <wp:wrapSquare wrapText="bothSides"/>
              <wp:docPr id="866686271"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8620125" cy="16668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50" style="width:678.75pt;height:131.25pt;margin-top:-6.45pt;margin-left:-36.75pt;mso-height-percent:0;mso-height-relative:margin;mso-width-percent:0;mso-width-relative:margin;mso-wrap-distance-bottom:0;mso-wrap-distance-left:9pt;mso-wrap-distance-right:9pt;mso-wrap-distance-top:0;mso-wrap-style:square;position:absolute;v-text-anchor:middle;visibility:visible;z-index:-251657216" fillcolor="white" stroked="f" strokeweight="1pt">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B492C51"/>
    <w:multiLevelType w:val="hybridMultilevel"/>
    <w:tmpl w:val="345027BC"/>
    <w:lvl w:ilvl="0">
      <w:start w:val="1"/>
      <w:numFmt w:val="bullet"/>
      <w:pStyle w:val="BulletList"/>
      <w:lvlText w:val=""/>
      <w:lvlJc w:val="left"/>
      <w:pPr>
        <w:ind w:left="360" w:hanging="360"/>
      </w:pPr>
      <w:rPr>
        <w:rFonts w:ascii="Symbol" w:hAnsi="Symbol" w:hint="default"/>
        <w:color w:val="D47324"/>
      </w:rPr>
    </w:lvl>
    <w:lvl w:ilvl="1" w:tentative="1">
      <w:start w:val="1"/>
      <w:numFmt w:val="bullet"/>
      <w:lvlText w:val="o"/>
      <w:lvlJc w:val="left"/>
      <w:pPr>
        <w:ind w:left="1152" w:hanging="360"/>
      </w:pPr>
      <w:rPr>
        <w:rFonts w:ascii="Courier New" w:hAnsi="Courier New" w:cs="Courier New" w:hint="default"/>
      </w:rPr>
    </w:lvl>
    <w:lvl w:ilvl="2" w:tentative="1">
      <w:start w:val="1"/>
      <w:numFmt w:val="bullet"/>
      <w:lvlText w:val=""/>
      <w:lvlJc w:val="left"/>
      <w:pPr>
        <w:ind w:left="1872" w:hanging="360"/>
      </w:pPr>
      <w:rPr>
        <w:rFonts w:ascii="Wingdings" w:hAnsi="Wingdings" w:hint="default"/>
      </w:rPr>
    </w:lvl>
    <w:lvl w:ilvl="3" w:tentative="1">
      <w:start w:val="1"/>
      <w:numFmt w:val="bullet"/>
      <w:lvlText w:val=""/>
      <w:lvlJc w:val="left"/>
      <w:pPr>
        <w:ind w:left="2592" w:hanging="360"/>
      </w:pPr>
      <w:rPr>
        <w:rFonts w:ascii="Symbol" w:hAnsi="Symbol" w:hint="default"/>
      </w:rPr>
    </w:lvl>
    <w:lvl w:ilvl="4" w:tentative="1">
      <w:start w:val="1"/>
      <w:numFmt w:val="bullet"/>
      <w:lvlText w:val="o"/>
      <w:lvlJc w:val="left"/>
      <w:pPr>
        <w:ind w:left="3312" w:hanging="360"/>
      </w:pPr>
      <w:rPr>
        <w:rFonts w:ascii="Courier New" w:hAnsi="Courier New" w:cs="Courier New" w:hint="default"/>
      </w:rPr>
    </w:lvl>
    <w:lvl w:ilvl="5" w:tentative="1">
      <w:start w:val="1"/>
      <w:numFmt w:val="bullet"/>
      <w:lvlText w:val=""/>
      <w:lvlJc w:val="left"/>
      <w:pPr>
        <w:ind w:left="4032" w:hanging="360"/>
      </w:pPr>
      <w:rPr>
        <w:rFonts w:ascii="Wingdings" w:hAnsi="Wingdings" w:hint="default"/>
      </w:rPr>
    </w:lvl>
    <w:lvl w:ilvl="6" w:tentative="1">
      <w:start w:val="1"/>
      <w:numFmt w:val="bullet"/>
      <w:lvlText w:val=""/>
      <w:lvlJc w:val="left"/>
      <w:pPr>
        <w:ind w:left="4752" w:hanging="360"/>
      </w:pPr>
      <w:rPr>
        <w:rFonts w:ascii="Symbol" w:hAnsi="Symbol" w:hint="default"/>
      </w:rPr>
    </w:lvl>
    <w:lvl w:ilvl="7" w:tentative="1">
      <w:start w:val="1"/>
      <w:numFmt w:val="bullet"/>
      <w:lvlText w:val="o"/>
      <w:lvlJc w:val="left"/>
      <w:pPr>
        <w:ind w:left="5472" w:hanging="360"/>
      </w:pPr>
      <w:rPr>
        <w:rFonts w:ascii="Courier New" w:hAnsi="Courier New" w:cs="Courier New" w:hint="default"/>
      </w:rPr>
    </w:lvl>
    <w:lvl w:ilvl="8" w:tentative="1">
      <w:start w:val="1"/>
      <w:numFmt w:val="bullet"/>
      <w:lvlText w:val=""/>
      <w:lvlJc w:val="left"/>
      <w:pPr>
        <w:ind w:left="6192" w:hanging="360"/>
      </w:pPr>
      <w:rPr>
        <w:rFonts w:ascii="Wingdings" w:hAnsi="Wingdings" w:hint="default"/>
      </w:rPr>
    </w:lvl>
  </w:abstractNum>
  <w:num w:numId="1" w16cid:durableId="1601644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A6A"/>
    <w:rsid w:val="00024FE4"/>
    <w:rsid w:val="00034DED"/>
    <w:rsid w:val="00040561"/>
    <w:rsid w:val="00045A2A"/>
    <w:rsid w:val="00072D18"/>
    <w:rsid w:val="00074127"/>
    <w:rsid w:val="00077548"/>
    <w:rsid w:val="00085F6C"/>
    <w:rsid w:val="0008773E"/>
    <w:rsid w:val="000900EA"/>
    <w:rsid w:val="000967F3"/>
    <w:rsid w:val="000A16A6"/>
    <w:rsid w:val="000B15F1"/>
    <w:rsid w:val="000B60EF"/>
    <w:rsid w:val="000C2AA0"/>
    <w:rsid w:val="000D35A3"/>
    <w:rsid w:val="000D5E17"/>
    <w:rsid w:val="000D74B3"/>
    <w:rsid w:val="000D7E31"/>
    <w:rsid w:val="000E3FFE"/>
    <w:rsid w:val="001230DD"/>
    <w:rsid w:val="001313CF"/>
    <w:rsid w:val="001366A0"/>
    <w:rsid w:val="001412C9"/>
    <w:rsid w:val="00141E58"/>
    <w:rsid w:val="00143A7C"/>
    <w:rsid w:val="00156960"/>
    <w:rsid w:val="00162801"/>
    <w:rsid w:val="00166F2A"/>
    <w:rsid w:val="00180A4C"/>
    <w:rsid w:val="0018541F"/>
    <w:rsid w:val="00194C85"/>
    <w:rsid w:val="001A02CD"/>
    <w:rsid w:val="001A120E"/>
    <w:rsid w:val="001A3E8D"/>
    <w:rsid w:val="001C22E1"/>
    <w:rsid w:val="001D0A1D"/>
    <w:rsid w:val="001D5577"/>
    <w:rsid w:val="001D7079"/>
    <w:rsid w:val="001D79D6"/>
    <w:rsid w:val="00203399"/>
    <w:rsid w:val="00217C2E"/>
    <w:rsid w:val="00223DC6"/>
    <w:rsid w:val="00226089"/>
    <w:rsid w:val="00226694"/>
    <w:rsid w:val="00226899"/>
    <w:rsid w:val="002358B7"/>
    <w:rsid w:val="00246287"/>
    <w:rsid w:val="0025090C"/>
    <w:rsid w:val="00267376"/>
    <w:rsid w:val="0027082F"/>
    <w:rsid w:val="002753C7"/>
    <w:rsid w:val="00297959"/>
    <w:rsid w:val="002A1086"/>
    <w:rsid w:val="002B4F4C"/>
    <w:rsid w:val="002B54F9"/>
    <w:rsid w:val="002B6339"/>
    <w:rsid w:val="002B66EC"/>
    <w:rsid w:val="002C35AF"/>
    <w:rsid w:val="002C6C3A"/>
    <w:rsid w:val="002D0946"/>
    <w:rsid w:val="00300A80"/>
    <w:rsid w:val="00310C71"/>
    <w:rsid w:val="003246A7"/>
    <w:rsid w:val="003412DC"/>
    <w:rsid w:val="00344D9A"/>
    <w:rsid w:val="00346675"/>
    <w:rsid w:val="0034689F"/>
    <w:rsid w:val="00346BFE"/>
    <w:rsid w:val="0035351C"/>
    <w:rsid w:val="0035458F"/>
    <w:rsid w:val="00366381"/>
    <w:rsid w:val="00367932"/>
    <w:rsid w:val="00372C7D"/>
    <w:rsid w:val="00372E6C"/>
    <w:rsid w:val="00375220"/>
    <w:rsid w:val="00376BFA"/>
    <w:rsid w:val="00387B1F"/>
    <w:rsid w:val="00396DF5"/>
    <w:rsid w:val="003A02AC"/>
    <w:rsid w:val="003A74FD"/>
    <w:rsid w:val="003C1B40"/>
    <w:rsid w:val="003D33C2"/>
    <w:rsid w:val="003D72A6"/>
    <w:rsid w:val="003E724C"/>
    <w:rsid w:val="003F09A9"/>
    <w:rsid w:val="003F0C0C"/>
    <w:rsid w:val="00405664"/>
    <w:rsid w:val="0042583B"/>
    <w:rsid w:val="004354EA"/>
    <w:rsid w:val="00436CB2"/>
    <w:rsid w:val="00447A7C"/>
    <w:rsid w:val="00457C1C"/>
    <w:rsid w:val="00457C9D"/>
    <w:rsid w:val="0046018C"/>
    <w:rsid w:val="004A2885"/>
    <w:rsid w:val="004A473B"/>
    <w:rsid w:val="004D3E69"/>
    <w:rsid w:val="004D5FD8"/>
    <w:rsid w:val="0050770C"/>
    <w:rsid w:val="00512ADF"/>
    <w:rsid w:val="005478E9"/>
    <w:rsid w:val="005604AB"/>
    <w:rsid w:val="005872BD"/>
    <w:rsid w:val="00590AE4"/>
    <w:rsid w:val="0059233D"/>
    <w:rsid w:val="0059337E"/>
    <w:rsid w:val="00595475"/>
    <w:rsid w:val="005B3071"/>
    <w:rsid w:val="005B4D00"/>
    <w:rsid w:val="005B6495"/>
    <w:rsid w:val="005E4C05"/>
    <w:rsid w:val="005E6441"/>
    <w:rsid w:val="005E6B81"/>
    <w:rsid w:val="005F4D1C"/>
    <w:rsid w:val="005F5A4B"/>
    <w:rsid w:val="005F6C87"/>
    <w:rsid w:val="005F7096"/>
    <w:rsid w:val="00613008"/>
    <w:rsid w:val="00614F59"/>
    <w:rsid w:val="00621425"/>
    <w:rsid w:val="00645635"/>
    <w:rsid w:val="00654CE3"/>
    <w:rsid w:val="0065618E"/>
    <w:rsid w:val="006563DD"/>
    <w:rsid w:val="006669D4"/>
    <w:rsid w:val="00666D46"/>
    <w:rsid w:val="00672A17"/>
    <w:rsid w:val="006773B4"/>
    <w:rsid w:val="006822F6"/>
    <w:rsid w:val="00682DF5"/>
    <w:rsid w:val="0068590F"/>
    <w:rsid w:val="006945B3"/>
    <w:rsid w:val="006A7B93"/>
    <w:rsid w:val="006B13AB"/>
    <w:rsid w:val="006B66F1"/>
    <w:rsid w:val="006C38DF"/>
    <w:rsid w:val="006F04D5"/>
    <w:rsid w:val="006F208C"/>
    <w:rsid w:val="006F26E4"/>
    <w:rsid w:val="006F6EC5"/>
    <w:rsid w:val="007005A7"/>
    <w:rsid w:val="00701A21"/>
    <w:rsid w:val="00725042"/>
    <w:rsid w:val="007345FF"/>
    <w:rsid w:val="007410DE"/>
    <w:rsid w:val="00765DF4"/>
    <w:rsid w:val="0077264B"/>
    <w:rsid w:val="00775779"/>
    <w:rsid w:val="00776A09"/>
    <w:rsid w:val="00782C26"/>
    <w:rsid w:val="007A759A"/>
    <w:rsid w:val="007B4FC7"/>
    <w:rsid w:val="007B56D1"/>
    <w:rsid w:val="007B69D1"/>
    <w:rsid w:val="007D7370"/>
    <w:rsid w:val="007E266E"/>
    <w:rsid w:val="007E7EBC"/>
    <w:rsid w:val="007F2355"/>
    <w:rsid w:val="00827C93"/>
    <w:rsid w:val="00850CF1"/>
    <w:rsid w:val="00861FB5"/>
    <w:rsid w:val="0086741F"/>
    <w:rsid w:val="00876847"/>
    <w:rsid w:val="00876F68"/>
    <w:rsid w:val="0088466C"/>
    <w:rsid w:val="008851D4"/>
    <w:rsid w:val="008943F6"/>
    <w:rsid w:val="008A3E6E"/>
    <w:rsid w:val="008F4B96"/>
    <w:rsid w:val="0090096B"/>
    <w:rsid w:val="009012B3"/>
    <w:rsid w:val="00902E8C"/>
    <w:rsid w:val="00914CEA"/>
    <w:rsid w:val="00930A08"/>
    <w:rsid w:val="00942CB8"/>
    <w:rsid w:val="00946A52"/>
    <w:rsid w:val="00950A6A"/>
    <w:rsid w:val="00950B6C"/>
    <w:rsid w:val="00951787"/>
    <w:rsid w:val="0095386C"/>
    <w:rsid w:val="00963019"/>
    <w:rsid w:val="009716C8"/>
    <w:rsid w:val="00972CCE"/>
    <w:rsid w:val="00984575"/>
    <w:rsid w:val="00985642"/>
    <w:rsid w:val="00992B63"/>
    <w:rsid w:val="009A3A03"/>
    <w:rsid w:val="009A406B"/>
    <w:rsid w:val="009A661D"/>
    <w:rsid w:val="009A6E50"/>
    <w:rsid w:val="009A7BA8"/>
    <w:rsid w:val="009C365F"/>
    <w:rsid w:val="009F52A4"/>
    <w:rsid w:val="00A14304"/>
    <w:rsid w:val="00A1667E"/>
    <w:rsid w:val="00A2072C"/>
    <w:rsid w:val="00A2616D"/>
    <w:rsid w:val="00A31D5F"/>
    <w:rsid w:val="00A561EF"/>
    <w:rsid w:val="00A632F3"/>
    <w:rsid w:val="00A6363C"/>
    <w:rsid w:val="00A739ED"/>
    <w:rsid w:val="00A7463C"/>
    <w:rsid w:val="00A770E5"/>
    <w:rsid w:val="00A8002C"/>
    <w:rsid w:val="00A83496"/>
    <w:rsid w:val="00A948A8"/>
    <w:rsid w:val="00AA2E64"/>
    <w:rsid w:val="00AA4224"/>
    <w:rsid w:val="00AC4468"/>
    <w:rsid w:val="00AC6953"/>
    <w:rsid w:val="00AD1A6F"/>
    <w:rsid w:val="00AD4CC3"/>
    <w:rsid w:val="00AD6A4C"/>
    <w:rsid w:val="00AF4382"/>
    <w:rsid w:val="00AF60CE"/>
    <w:rsid w:val="00B21AA9"/>
    <w:rsid w:val="00B24928"/>
    <w:rsid w:val="00B35F71"/>
    <w:rsid w:val="00B37BD9"/>
    <w:rsid w:val="00B561FC"/>
    <w:rsid w:val="00B6763C"/>
    <w:rsid w:val="00B75FB5"/>
    <w:rsid w:val="00B81EB3"/>
    <w:rsid w:val="00B91399"/>
    <w:rsid w:val="00BA284E"/>
    <w:rsid w:val="00BB3BCD"/>
    <w:rsid w:val="00BC4837"/>
    <w:rsid w:val="00BD4BBF"/>
    <w:rsid w:val="00BF44A8"/>
    <w:rsid w:val="00BF7FA2"/>
    <w:rsid w:val="00C0106E"/>
    <w:rsid w:val="00C1658B"/>
    <w:rsid w:val="00C23106"/>
    <w:rsid w:val="00C24134"/>
    <w:rsid w:val="00C418BF"/>
    <w:rsid w:val="00C4379C"/>
    <w:rsid w:val="00C641DB"/>
    <w:rsid w:val="00C9332A"/>
    <w:rsid w:val="00C95750"/>
    <w:rsid w:val="00C97408"/>
    <w:rsid w:val="00CA4D8A"/>
    <w:rsid w:val="00CD45DE"/>
    <w:rsid w:val="00CE2657"/>
    <w:rsid w:val="00CF4437"/>
    <w:rsid w:val="00D102E2"/>
    <w:rsid w:val="00D14936"/>
    <w:rsid w:val="00D23C92"/>
    <w:rsid w:val="00D2467E"/>
    <w:rsid w:val="00D26B2A"/>
    <w:rsid w:val="00D3067B"/>
    <w:rsid w:val="00D33740"/>
    <w:rsid w:val="00D501BB"/>
    <w:rsid w:val="00D70769"/>
    <w:rsid w:val="00D7418E"/>
    <w:rsid w:val="00D826D7"/>
    <w:rsid w:val="00DB4066"/>
    <w:rsid w:val="00DB4678"/>
    <w:rsid w:val="00DB52D4"/>
    <w:rsid w:val="00DB565E"/>
    <w:rsid w:val="00DB77C1"/>
    <w:rsid w:val="00DD2306"/>
    <w:rsid w:val="00DE6285"/>
    <w:rsid w:val="00DF116D"/>
    <w:rsid w:val="00DF62F3"/>
    <w:rsid w:val="00DF7F65"/>
    <w:rsid w:val="00E132FD"/>
    <w:rsid w:val="00E13BB5"/>
    <w:rsid w:val="00E25B8A"/>
    <w:rsid w:val="00E369E5"/>
    <w:rsid w:val="00E44997"/>
    <w:rsid w:val="00E53D5A"/>
    <w:rsid w:val="00E5633B"/>
    <w:rsid w:val="00E61F76"/>
    <w:rsid w:val="00E77FE3"/>
    <w:rsid w:val="00E97489"/>
    <w:rsid w:val="00EB387E"/>
    <w:rsid w:val="00ED0C77"/>
    <w:rsid w:val="00ED5A95"/>
    <w:rsid w:val="00EF320E"/>
    <w:rsid w:val="00F01B78"/>
    <w:rsid w:val="00F11DE1"/>
    <w:rsid w:val="00F30704"/>
    <w:rsid w:val="00F354AD"/>
    <w:rsid w:val="00F7219B"/>
    <w:rsid w:val="00F87946"/>
    <w:rsid w:val="00FA4491"/>
    <w:rsid w:val="00FA5872"/>
    <w:rsid w:val="00FB1E77"/>
    <w:rsid w:val="00FB7295"/>
    <w:rsid w:val="00FC7FAF"/>
    <w:rsid w:val="00FD21D0"/>
    <w:rsid w:val="00FF02FA"/>
    <w:rsid w:val="00FF1E62"/>
  </w:rsids>
  <w:docVars>
    <w:docVar w:name="__Grammarly_42___1" w:val="H4sIAAAAAAAEAKtWcslP9kxRslIyNDa2MDEzNjUytDSxMAARSjpKwanFxZn5eSAFhrUArmo9L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C682951"/>
  <w15:chartTrackingRefBased/>
  <w15:docId w15:val="{682AD9C0-E0A9-4119-9E95-954FF3A34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02E8C"/>
    <w:pPr>
      <w:spacing w:after="120"/>
    </w:pPr>
    <w:rPr>
      <w:sz w:val="21"/>
    </w:rPr>
  </w:style>
  <w:style w:type="paragraph" w:styleId="Heading1">
    <w:name w:val="heading 1"/>
    <w:basedOn w:val="Normal"/>
    <w:next w:val="Normal"/>
    <w:link w:val="Heading1Char"/>
    <w:uiPriority w:val="9"/>
    <w:qFormat/>
    <w:rsid w:val="00902E8C"/>
    <w:pPr>
      <w:spacing w:after="80"/>
      <w:outlineLvl w:val="0"/>
    </w:pPr>
    <w:rPr>
      <w:rFonts w:ascii="Bahnschrift" w:hAnsi="Bahnschrift"/>
      <w:b/>
      <w:sz w:val="40"/>
    </w:rPr>
  </w:style>
  <w:style w:type="paragraph" w:styleId="Heading2">
    <w:name w:val="heading 2"/>
    <w:basedOn w:val="Normal"/>
    <w:next w:val="Normal"/>
    <w:link w:val="Heading2Char"/>
    <w:uiPriority w:val="9"/>
    <w:unhideWhenUsed/>
    <w:qFormat/>
    <w:rsid w:val="00902E8C"/>
    <w:pPr>
      <w:spacing w:after="80" w:line="240" w:lineRule="auto"/>
      <w:outlineLvl w:val="1"/>
    </w:pPr>
    <w:rPr>
      <w:rFonts w:ascii="Bahnschrift" w:hAnsi="Bahnschrift"/>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2AA0"/>
    <w:pPr>
      <w:tabs>
        <w:tab w:val="center" w:pos="4680"/>
        <w:tab w:val="right" w:pos="9360"/>
      </w:tabs>
      <w:spacing w:after="0"/>
    </w:pPr>
    <w:rPr>
      <w:rFonts w:ascii="Bahnschrift" w:hAnsi="Bahnschrift"/>
      <w:b/>
      <w:sz w:val="22"/>
    </w:rPr>
  </w:style>
  <w:style w:type="character" w:customStyle="1" w:styleId="HeaderChar">
    <w:name w:val="Header Char"/>
    <w:basedOn w:val="DefaultParagraphFont"/>
    <w:link w:val="Header"/>
    <w:uiPriority w:val="99"/>
    <w:rsid w:val="000C2AA0"/>
    <w:rPr>
      <w:rFonts w:ascii="Bahnschrift" w:hAnsi="Bahnschrift"/>
      <w:b/>
    </w:rPr>
  </w:style>
  <w:style w:type="paragraph" w:styleId="Footer">
    <w:name w:val="footer"/>
    <w:basedOn w:val="Normal"/>
    <w:link w:val="FooterChar"/>
    <w:uiPriority w:val="99"/>
    <w:unhideWhenUsed/>
    <w:rsid w:val="0068590F"/>
    <w:pPr>
      <w:tabs>
        <w:tab w:val="center" w:pos="4680"/>
        <w:tab w:val="right" w:pos="9360"/>
      </w:tabs>
      <w:spacing w:after="0"/>
    </w:pPr>
  </w:style>
  <w:style w:type="character" w:customStyle="1" w:styleId="FooterChar">
    <w:name w:val="Footer Char"/>
    <w:basedOn w:val="DefaultParagraphFont"/>
    <w:link w:val="Footer"/>
    <w:uiPriority w:val="99"/>
    <w:rsid w:val="0068590F"/>
  </w:style>
  <w:style w:type="character" w:customStyle="1" w:styleId="Heading2Char">
    <w:name w:val="Heading 2 Char"/>
    <w:basedOn w:val="DefaultParagraphFont"/>
    <w:link w:val="Heading2"/>
    <w:uiPriority w:val="9"/>
    <w:rsid w:val="00902E8C"/>
    <w:rPr>
      <w:rFonts w:ascii="Bahnschrift" w:hAnsi="Bahnschrift"/>
      <w:b/>
      <w:sz w:val="24"/>
    </w:rPr>
  </w:style>
  <w:style w:type="paragraph" w:customStyle="1" w:styleId="Callout">
    <w:name w:val="Callout"/>
    <w:basedOn w:val="Normal"/>
    <w:rsid w:val="00902E8C"/>
    <w:pPr>
      <w:jc w:val="center"/>
    </w:pPr>
    <w:rPr>
      <w:b/>
      <w:color w:val="FFFFFF" w:themeColor="background1"/>
    </w:rPr>
  </w:style>
  <w:style w:type="character" w:customStyle="1" w:styleId="BoldTextBulletLists">
    <w:name w:val="Bold Text Bullet Lists"/>
    <w:uiPriority w:val="1"/>
    <w:qFormat/>
    <w:rsid w:val="003A02AC"/>
    <w:rPr>
      <w:rFonts w:asciiTheme="minorHAnsi" w:hAnsiTheme="minorHAnsi"/>
      <w:b/>
      <w:color w:val="auto"/>
      <w:sz w:val="22"/>
    </w:rPr>
  </w:style>
  <w:style w:type="paragraph" w:customStyle="1" w:styleId="BulletList">
    <w:name w:val="BulletList"/>
    <w:basedOn w:val="Normal"/>
    <w:link w:val="BulletListChar"/>
    <w:qFormat/>
    <w:rsid w:val="009C365F"/>
    <w:pPr>
      <w:numPr>
        <w:numId w:val="1"/>
      </w:numPr>
    </w:pPr>
    <w:rPr>
      <w:color w:val="000000" w:themeColor="text1"/>
    </w:rPr>
  </w:style>
  <w:style w:type="character" w:customStyle="1" w:styleId="Heading1Char">
    <w:name w:val="Heading 1 Char"/>
    <w:basedOn w:val="DefaultParagraphFont"/>
    <w:link w:val="Heading1"/>
    <w:uiPriority w:val="9"/>
    <w:rsid w:val="00902E8C"/>
    <w:rPr>
      <w:rFonts w:ascii="Bahnschrift" w:hAnsi="Bahnschrift"/>
      <w:b/>
      <w:sz w:val="40"/>
    </w:rPr>
  </w:style>
  <w:style w:type="character" w:customStyle="1" w:styleId="BulletListChar">
    <w:name w:val="BulletList Char"/>
    <w:basedOn w:val="DefaultParagraphFont"/>
    <w:link w:val="BulletList"/>
    <w:rsid w:val="00902E8C"/>
    <w:rPr>
      <w:color w:val="000000" w:themeColor="text1"/>
    </w:rPr>
  </w:style>
  <w:style w:type="paragraph" w:customStyle="1" w:styleId="PageNum">
    <w:name w:val="Page Num"/>
    <w:basedOn w:val="Normal"/>
    <w:uiPriority w:val="99"/>
    <w:rsid w:val="00166F2A"/>
    <w:pPr>
      <w:autoSpaceDE w:val="0"/>
      <w:autoSpaceDN w:val="0"/>
      <w:adjustRightInd w:val="0"/>
      <w:spacing w:after="360"/>
      <w:textAlignment w:val="center"/>
    </w:pPr>
    <w:rPr>
      <w:rFonts w:ascii="Calibri" w:hAnsi="Calibri" w:cs="Calibri"/>
      <w:color w:val="000000"/>
      <w:sz w:val="16"/>
      <w:szCs w:val="16"/>
    </w:rPr>
  </w:style>
  <w:style w:type="paragraph" w:customStyle="1" w:styleId="body">
    <w:name w:val=".body"/>
    <w:basedOn w:val="Normal"/>
    <w:link w:val="bodyChar"/>
    <w:qFormat/>
    <w:rsid w:val="00CE2657"/>
    <w:pPr>
      <w:spacing w:after="200" w:line="276" w:lineRule="auto"/>
    </w:pPr>
    <w:rPr>
      <w:rFonts w:ascii="Calibri Light" w:eastAsia="Calibri" w:hAnsi="Calibri Light" w:cs="Times New Roman"/>
      <w:color w:val="000000"/>
      <w:sz w:val="20"/>
      <w:szCs w:val="20"/>
    </w:rPr>
  </w:style>
  <w:style w:type="character" w:customStyle="1" w:styleId="bodyChar">
    <w:name w:val=".body Char"/>
    <w:link w:val="body"/>
    <w:rsid w:val="00CE2657"/>
    <w:rPr>
      <w:rFonts w:ascii="Calibri Light" w:eastAsia="Calibri" w:hAnsi="Calibri Light" w:cs="Times New Roman"/>
      <w:color w:val="000000"/>
      <w:sz w:val="20"/>
      <w:szCs w:val="20"/>
    </w:rPr>
  </w:style>
  <w:style w:type="paragraph" w:styleId="Revision">
    <w:name w:val="Revision"/>
    <w:hidden/>
    <w:uiPriority w:val="99"/>
    <w:semiHidden/>
    <w:rsid w:val="00AF60CE"/>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_rels/footer2.xml.rels><?xml version="1.0" encoding="utf-8" standalone="yes"?><Relationships xmlns="http://schemas.openxmlformats.org/package/2006/relationships"><Relationship Id="rId1" Type="http://schemas.openxmlformats.org/officeDocument/2006/relationships/image" Target="media/image3.png"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M:\MASTER%20TEMPLATES\PC%20Content\2025%20Newsletters%20-%20PC\2025%20-%20Construction%20-%20Risk%20Advisor%20Template.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DBEEAB1C8494469052C42F3E641444" ma:contentTypeVersion="21" ma:contentTypeDescription="Create a new document." ma:contentTypeScope="" ma:versionID="43338c2caad377d5351ebfd863cd5034">
  <xsd:schema xmlns:xsd="http://www.w3.org/2001/XMLSchema" xmlns:xs="http://www.w3.org/2001/XMLSchema" xmlns:p="http://schemas.microsoft.com/office/2006/metadata/properties" xmlns:ns1="http://schemas.microsoft.com/sharepoint/v3" xmlns:ns2="7f0d438c-546f-418b-8b34-3aeabdd873e7" xmlns:ns3="b8e3cc31-5e35-410f-816b-f92194aa7093" targetNamespace="http://schemas.microsoft.com/office/2006/metadata/properties" ma:root="true" ma:fieldsID="3c42dd0dbf776ad411f5866944b40e53" ns1:_="" ns2:_="" ns3:_="">
    <xsd:import namespace="http://schemas.microsoft.com/sharepoint/v3"/>
    <xsd:import namespace="7f0d438c-546f-418b-8b34-3aeabdd873e7"/>
    <xsd:import namespace="b8e3cc31-5e35-410f-816b-f92194aa70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d438c-546f-418b-8b34-3aeabdd87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5696d3-a483-472b-9efb-84a45ba5b3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e3cc31-5e35-410f-816b-f92194aa70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3f3ee35-7626-46c8-a433-74b9dadabf13}" ma:internalName="TaxCatchAll" ma:showField="CatchAllData" ma:web="b8e3cc31-5e35-410f-816b-f92194aa70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f0d438c-546f-418b-8b34-3aeabdd873e7">
      <Terms xmlns="http://schemas.microsoft.com/office/infopath/2007/PartnerControls"/>
    </lcf76f155ced4ddcb4097134ff3c332f>
    <TaxCatchAll xmlns="b8e3cc31-5e35-410f-816b-f92194aa7093" xsi:nil="true"/>
  </documentManagement>
</p:properties>
</file>

<file path=customXml/itemProps1.xml><?xml version="1.0" encoding="utf-8"?>
<ds:datastoreItem xmlns:ds="http://schemas.openxmlformats.org/officeDocument/2006/customXml" ds:itemID="{3CA9AAC0-F34D-4D38-BEA6-A4D95FB1E0C1}">
  <ds:schemaRefs/>
</ds:datastoreItem>
</file>

<file path=customXml/itemProps2.xml><?xml version="1.0" encoding="utf-8"?>
<ds:datastoreItem xmlns:ds="http://schemas.openxmlformats.org/officeDocument/2006/customXml" ds:itemID="{CFF98A6C-2808-43BA-A82F-C40F679B8CCA}">
  <ds:schemaRefs/>
</ds:datastoreItem>
</file>

<file path=customXml/itemProps3.xml><?xml version="1.0" encoding="utf-8"?>
<ds:datastoreItem xmlns:ds="http://schemas.openxmlformats.org/officeDocument/2006/customXml" ds:itemID="{67BD2840-6519-4BD0-93FE-FD164DB3C3E9}">
  <ds:schemaRefs/>
</ds:datastoreItem>
</file>

<file path=docMetadata/LabelInfo.xml><?xml version="1.0" encoding="utf-8"?>
<clbl:labelList xmlns:clbl="http://schemas.microsoft.com/office/2020/mipLabelMetadata">
  <clbl:label id="{bd0c095f-5d66-4273-a209-64796ae91974}" enabled="0" method="" siteId="{bd0c095f-5d66-4273-a209-64796ae91974}" removed="1"/>
</clbl:labelList>
</file>

<file path=docProps/app.xml><?xml version="1.0" encoding="utf-8"?>
<Properties xmlns="http://schemas.openxmlformats.org/officeDocument/2006/extended-properties" xmlns:vt="http://schemas.openxmlformats.org/officeDocument/2006/docPropsVTypes">
  <Template>2025 - Construction - Risk Advisor Template.dotx</Template>
  <TotalTime>22</TotalTime>
  <Pages>1</Pages>
  <Words>618</Words>
  <Characters>4125</Characters>
  <Application>Microsoft Office Word</Application>
  <DocSecurity>0</DocSecurity>
  <Lines>84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Molitor, Neal</dc:creator>
  <cp:lastModifiedBy>Molitor, Neal</cp:lastModifiedBy>
  <cp:revision>2</cp:revision>
  <dcterms:created xsi:type="dcterms:W3CDTF">2025-02-21T21:16:00Z</dcterms:created>
  <dcterms:modified xsi:type="dcterms:W3CDTF">2025-02-21T21:16:00Z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0x01010008DBEEAB1C8494469052C42F3E641444</vt:lpwstr>
  </property>
  <property fmtid="{D5CDD505-2E9C-101B-9397-08002B2CF9AE}" pid="3" name="GrammarlyDocumentId">
    <vt:lpwstr>209d73ba-2c14-446f-b583-eadc0910b938</vt:lpwstr>
  </property>
</Properties>
</file>