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26000D" w:rsidRPr="007505D2" w:rsidP="005C647E" w14:paraId="56BB47E4" w14:textId="1809E922">
      <w:pPr>
        <w:pStyle w:val="Heading1"/>
      </w:pPr>
      <w:r w:rsidRPr="0007518D" w:rsidR="0007518D">
        <w:rPr>
          <w:sz w:val="44"/>
          <w:szCs w:val="44"/>
        </w:rPr>
        <w:drawing>
          <wp:anchor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7493000</wp:posOffset>
            </wp:positionV>
            <wp:extent cx="1645923" cy="1120142"/>
            <wp:wrapNone/>
            <wp:docPr id="100023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A1C">
        <w:rPr>
          <w:color w:val="FFFFFF" w:themeColor="background1"/>
          <w:sz w:val="2"/>
          <w:szCs w:val="2"/>
        </w:rPr>
        <w:drawing>
          <wp:anchor distT="0" distB="0" distL="0" distR="0" simplePos="0" relativeHeight="251667456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2359152"/>
            <wp:effectExtent l="0" t="0" r="0" b="3175"/>
            <wp:wrapThrough wrapText="bothSides">
              <wp:wrapPolygon>
                <wp:start x="0" y="0"/>
                <wp:lineTo x="-185" y="21542"/>
                <wp:lineTo x="21598" y="21542"/>
                <wp:lineTo x="21547" y="0"/>
                <wp:lineTo x="0" y="0"/>
              </wp:wrapPolygon>
            </wp:wrapThrough>
            <wp:docPr id="260411" name="Picture 1" descr="A person's leg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11" name="Picture 1" descr="A person's legs on a table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A1C">
        <w:rPr>
          <w:color w:val="FFFFFF" w:themeColor="background1"/>
          <w:sz w:val="2"/>
          <w:szCs w:val="2"/>
        </w:rPr>
        <mc:AlternateContent>
          <mc:Choice Requires="wps">
            <w:drawing>
              <wp:anchor distT="45720" distB="91440" distL="114300" distR="114300" simplePos="0" relativeHeight="251668480" behindDoc="0" locked="1" layoutInCell="1" allowOverlap="1">
                <wp:simplePos x="0" y="0"/>
                <wp:positionH relativeFrom="column">
                  <wp:posOffset>-571500</wp:posOffset>
                </wp:positionH>
                <wp:positionV relativeFrom="page">
                  <wp:posOffset>821055</wp:posOffset>
                </wp:positionV>
                <wp:extent cx="7571105" cy="1197610"/>
                <wp:effectExtent l="0" t="0" r="0" b="2540"/>
                <wp:wrapNone/>
                <wp:docPr id="19746792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105" cy="1197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3A" w:rsidRPr="0026616C" w:rsidP="00031B3A" w14:textId="40BD3490">
                            <w:pPr>
                              <w:pStyle w:val="StateName-Header"/>
                            </w:pPr>
                            <w:r>
                              <w:rPr>
                                <w:rFonts w:eastAsia="MS Gothic"/>
                              </w:rPr>
                              <w:t>California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96.15pt;height:94.3pt;margin-top:64.65pt;margin-left:-45pt;mso-height-percent:0;mso-height-relative:margin;mso-position-vertical-relative:page;mso-width-percent:0;mso-width-relative:margin;mso-wrap-distance-bottom:7.2pt;mso-wrap-distance-left:9pt;mso-wrap-distance-right:9pt;mso-wrap-distance-top:3.6pt;mso-wrap-style:square;position:absolute;v-text-anchor:top;visibility:visible;z-index:251669504" filled="f" stroked="f">
                <v:textbox>
                  <w:txbxContent>
                    <w:p w:rsidR="00031B3A" w:rsidRPr="0026616C" w:rsidP="00031B3A" w14:paraId="77CFDF7A" w14:textId="40BD3490">
                      <w:pPr>
                        <w:pStyle w:val="StateName-Header"/>
                      </w:pPr>
                      <w:r>
                        <w:rPr>
                          <w:rFonts w:eastAsia="MS Gothic"/>
                        </w:rPr>
                        <w:t>California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7518D" w:rsidR="004D0638">
        <w:rPr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6000750</wp:posOffset>
                </wp:positionV>
                <wp:extent cx="2504440" cy="1762125"/>
                <wp:effectExtent l="0" t="0" r="0" b="0"/>
                <wp:wrapNone/>
                <wp:docPr id="184713986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04440" cy="1762125"/>
                          <a:chOff x="-2" y="23108"/>
                          <a:chExt cx="2505075" cy="2137447"/>
                        </a:xfrm>
                      </wpg:grpSpPr>
                      <wps:wsp xmlns:wps="http://schemas.microsoft.com/office/word/2010/wordprocessingShape">
                        <wps:cNvPr id="13675074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73" y="141853"/>
                            <a:ext cx="2409800" cy="201870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058" w:rsidRPr="003A02DA" w:rsidP="00182D63" w14:textId="1EA335E1">
                              <w:pPr>
                                <w:pStyle w:val="CallOutBox"/>
                              </w:pPr>
                              <w:r>
                                <w:t>Cal/OSHA provided information for employers to ensure workers’ safety and health during fire cleanup.</w:t>
                              </w:r>
                              <w:r w:rsidRPr="003A02DA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45720" rIns="457200" bIns="45720" anchor="t" anchorCtr="0"/>
                      </wps:wsp>
                      <wps:wsp xmlns:wps="http://schemas.microsoft.com/office/word/2010/wordprocessingShape">
                        <wps:cNvPr id="2026736421" name="Rectangle 1"/>
                        <wps:cNvSpPr/>
                        <wps:spPr>
                          <a:xfrm>
                            <a:off x="-2" y="23108"/>
                            <a:ext cx="2505075" cy="118745"/>
                          </a:xfrm>
                          <a:prstGeom prst="rect">
                            <a:avLst/>
                          </a:prstGeom>
                          <a:solidFill>
                            <a:srgbClr val="E87A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width:197.2pt;height:138.75pt;margin-top:472.5pt;margin-left:378pt;mso-height-relative:margin;mso-position-vertical-relative:page;mso-width-relative:margin;position:absolute;z-index:251666432" coordorigin="0,231" coordsize="25050,21374">
                <v:shape id="_x0000_s1027" type="#_x0000_t202" style="width:24098;height:20187;left:952;mso-wrap-style:square;position:absolute;top:1418;v-text-anchor:top;visibility:visible" filled="f" stroked="f" strokeweight="3pt">
                  <v:textbox inset="0,,36pt">
                    <w:txbxContent>
                      <w:p w:rsidR="00823058" w:rsidRPr="003A02DA" w:rsidP="00182D63" w14:paraId="063D9777" w14:textId="1EA335E1">
                        <w:pPr>
                          <w:pStyle w:val="CallOutBox"/>
                        </w:pPr>
                        <w:r>
                          <w:t>Cal/OSHA provided information for employers to ensure workers’ safety and health during fire cleanup.</w:t>
                        </w:r>
                        <w:r w:rsidRPr="003A02DA">
                          <w:t xml:space="preserve"> </w:t>
                        </w:r>
                      </w:p>
                    </w:txbxContent>
                  </v:textbox>
                </v:shape>
                <v:rect id="Rectangle 1" o:spid="_x0000_s1028" style="width:25050;height:1187;mso-wrap-style:square;position:absolute;top:231;v-text-anchor:middle;visibility:visible" fillcolor="#e87a46" stroked="f" strokeweight="1pt"/>
                <w10:anchorlock/>
              </v:group>
            </w:pict>
          </mc:Fallback>
        </mc:AlternateContent>
      </w:r>
      <w:r w:rsidRPr="0007518D" w:rsidR="007E59DA"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4876800</wp:posOffset>
                </wp:positionH>
                <wp:positionV relativeFrom="page">
                  <wp:posOffset>2472690</wp:posOffset>
                </wp:positionV>
                <wp:extent cx="2075180" cy="447675"/>
                <wp:effectExtent l="0" t="0" r="1270" b="9525"/>
                <wp:wrapSquare wrapText="bothSides"/>
                <wp:docPr id="174127138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75180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txbx>
                        <w:txbxContent>
                          <w:p w:rsidR="0054056E" w:rsidRPr="00610CB3" w:rsidP="007E59DA" w14:textId="77777777">
                            <w:pPr>
                              <w:pStyle w:val="MergeField"/>
                              <w:rPr>
                                <w:b/>
                              </w:rPr>
                            </w:pPr>
                            <w:r w:rsidRPr="00610CB3">
                              <w:t>Provided</w:t>
                            </w:r>
                            <w:r w:rsidRPr="00610CB3" w:rsidR="005C647E">
                              <w:t xml:space="preserve"> </w:t>
                            </w:r>
                            <w:r w:rsidRPr="00610CB3">
                              <w:t>to you by</w:t>
                            </w:r>
                            <w:r w:rsidR="00993E92">
                              <w:t xml:space="preserve"> </w:t>
                            </w:r>
                            <w:r w:rsidRPr="00610CB3">
                              <w:rPr>
                                <w:b/>
                              </w:rPr>
                              <w:t>Wheeler &amp; Taylor Insurance</w:t>
                            </w:r>
                            <w:r w:rsidRPr="00610CB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width:163.4pt;height:35.25pt;margin-top:194.7pt;margin-left:384pt;mso-height-percent:0;mso-height-relative:margin;mso-position-vertical-relative:page;mso-width-percent:0;mso-width-relative:margin;mso-wrap-distance-bottom:0;mso-wrap-distance-left:9pt;mso-wrap-distance-right:9pt;mso-wrap-distance-top:0;position:absolute;v-text-anchor:top;z-index:251663360" filled="f" fillcolor="this" stroked="f" strokeweight="3pt">
                <v:textbox inset="0,0,0,0">
                  <w:txbxContent>
                    <w:p w:rsidR="0054056E" w:rsidRPr="00610CB3" w:rsidP="007E59DA" w14:paraId="02CD84E2" w14:textId="77777777">
                      <w:pPr>
                        <w:pStyle w:val="MergeField"/>
                        <w:rPr>
                          <w:b/>
                        </w:rPr>
                      </w:pPr>
                      <w:r w:rsidRPr="00610CB3">
                        <w:t>Provided</w:t>
                      </w:r>
                      <w:r w:rsidRPr="00610CB3" w:rsidR="005C647E">
                        <w:t xml:space="preserve"> </w:t>
                      </w:r>
                      <w:r w:rsidRPr="00610CB3">
                        <w:t>to you by</w:t>
                      </w:r>
                      <w:r w:rsidR="00993E92">
                        <w:t xml:space="preserve"> </w:t>
                      </w:r>
                      <w:r w:rsidRPr="00610CB3">
                        <w:rPr>
                          <w:b/>
                        </w:rPr>
                        <w:t>Wheeler &amp; Taylor Insurance</w:t>
                      </w:r>
                      <w:r w:rsidRPr="00610CB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07518D" w:rsidR="00DB7F90"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4895850</wp:posOffset>
                </wp:positionH>
                <wp:positionV relativeFrom="page">
                  <wp:posOffset>3371850</wp:posOffset>
                </wp:positionV>
                <wp:extent cx="2409825" cy="2609850"/>
                <wp:effectExtent l="0" t="0" r="0" b="0"/>
                <wp:wrapTight wrapText="bothSides">
                  <wp:wrapPolygon>
                    <wp:start x="0" y="0"/>
                    <wp:lineTo x="0" y="21442"/>
                    <wp:lineTo x="17758" y="21442"/>
                    <wp:lineTo x="17758" y="0"/>
                    <wp:lineTo x="0" y="0"/>
                  </wp:wrapPolygon>
                </wp:wrapTight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98" w:rsidP="005C647E" w14:textId="77777777">
                            <w:r>
                              <w:t>Under Labor Code § 1139, e</w:t>
                            </w:r>
                            <w:r w:rsidRPr="00CD4298">
                              <w:t xml:space="preserve">mployees have the right to leave or refuse to report to work in a disaster area if they believe it is unsafe to remain. </w:t>
                            </w:r>
                          </w:p>
                          <w:p w:rsidR="00CD4298" w:rsidP="005C647E" w14:textId="77777777">
                            <w:r w:rsidRPr="00CD4298">
                              <w:t xml:space="preserve">It is unlawful to </w:t>
                            </w:r>
                            <w:r w:rsidRPr="00CD4298">
                              <w:t>take action</w:t>
                            </w:r>
                            <w:r w:rsidRPr="00CD4298">
                              <w:t xml:space="preserve"> against an employee for refusing to work in such situations. </w:t>
                            </w:r>
                          </w:p>
                          <w:p w:rsidR="004D0638" w:rsidRPr="00D2167C" w:rsidP="005C647E" w14:textId="30FF45EA">
                            <w:r>
                              <w:t>However, t</w:t>
                            </w:r>
                            <w:r w:rsidRPr="00CD4298">
                              <w:t>his does not apply to first responders or certain other emergency services workers.</w:t>
                            </w:r>
                          </w:p>
                        </w:txbxContent>
                      </wps:txbx>
                      <wps:bodyPr rot="0" vert="horz" wrap="square" lIns="0" tIns="45720" rIns="45720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189.75pt;height:205.5pt;margin-top:265.5pt;margin-left:385.5pt;mso-height-percent:0;mso-height-relative:margin;mso-position-vertical-relative:page;mso-width-percent:0;mso-width-relative:margin;mso-wrap-distance-bottom:0;mso-wrap-distance-left:9pt;mso-wrap-distance-right:9pt;mso-wrap-distance-top:0;position:absolute;v-text-anchor:top;z-index:-251655168" wrapcoords="0 0 0 21442 17758 21442 17758 0" filled="f" fillcolor="this" stroked="f" strokeweight="0.75pt">
                <v:textbox inset="0,,36pt">
                  <w:txbxContent>
                    <w:p w:rsidR="00CD4298" w:rsidP="005C647E" w14:paraId="3049A357" w14:textId="77777777">
                      <w:r>
                        <w:t>Under Labor Code § 1139, e</w:t>
                      </w:r>
                      <w:r w:rsidRPr="00CD4298">
                        <w:t xml:space="preserve">mployees have the right to leave or refuse to report to work in a disaster area if they believe it is unsafe to remain. </w:t>
                      </w:r>
                    </w:p>
                    <w:p w:rsidR="00CD4298" w:rsidP="005C647E" w14:paraId="2B46284B" w14:textId="77777777">
                      <w:r w:rsidRPr="00CD4298">
                        <w:t xml:space="preserve">It is unlawful to </w:t>
                      </w:r>
                      <w:r w:rsidRPr="00CD4298">
                        <w:t>take action</w:t>
                      </w:r>
                      <w:r w:rsidRPr="00CD4298">
                        <w:t xml:space="preserve"> against an employee for refusing to work in such situations. </w:t>
                      </w:r>
                    </w:p>
                    <w:p w:rsidR="004D0638" w:rsidRPr="00D2167C" w:rsidP="005C647E" w14:paraId="0F4BFC05" w14:textId="30FF45EA">
                      <w:r>
                        <w:t>However, t</w:t>
                      </w:r>
                      <w:r w:rsidRPr="00CD4298">
                        <w:t>his does not apply to first responders or certain other emergency services workers.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07518D" w:rsidR="000A6544"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2952750</wp:posOffset>
                </wp:positionV>
                <wp:extent cx="2523490" cy="401955"/>
                <wp:effectExtent l="0" t="0" r="0" b="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401955"/>
                        </a:xfrm>
                        <a:prstGeom prst="rect">
                          <a:avLst/>
                        </a:prstGeom>
                        <a:solidFill>
                          <a:srgbClr val="E87A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4AB" w:rsidRPr="00A805EA" w:rsidP="007E59DA" w14:textId="577D41A8">
                            <w:pPr>
                              <w:pStyle w:val="SectionBoxBold"/>
                              <w:rPr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98.7pt;height:31.65pt;margin-top:232.5pt;margin-left:37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e87a46" stroked="f">
                <v:textbox>
                  <w:txbxContent>
                    <w:p w:rsidR="008864AB" w:rsidRPr="00A805EA" w:rsidP="007E59DA" w14:paraId="0DD2F125" w14:textId="577D41A8">
                      <w:pPr>
                        <w:pStyle w:val="SectionBoxBold"/>
                        <w:rPr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32"/>
                        </w:rPr>
                        <w:t>Important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7518D" w:rsidR="0007518D">
        <w:rPr>
          <w:sz w:val="44"/>
          <w:szCs w:val="44"/>
        </w:rPr>
        <w:t>Cal/OSHA</w:t>
      </w:r>
      <w:r w:rsidR="00CC0806">
        <w:rPr>
          <w:sz w:val="44"/>
          <w:szCs w:val="44"/>
        </w:rPr>
        <w:t xml:space="preserve">’s Guidance </w:t>
      </w:r>
      <w:r w:rsidR="00D34CC1">
        <w:rPr>
          <w:sz w:val="44"/>
          <w:szCs w:val="44"/>
        </w:rPr>
        <w:t>for</w:t>
      </w:r>
      <w:r w:rsidRPr="0007518D" w:rsidR="00D34CC1">
        <w:rPr>
          <w:sz w:val="44"/>
          <w:szCs w:val="44"/>
        </w:rPr>
        <w:t xml:space="preserve"> </w:t>
      </w:r>
      <w:r w:rsidRPr="0007518D" w:rsidR="0007518D">
        <w:rPr>
          <w:sz w:val="44"/>
          <w:szCs w:val="44"/>
        </w:rPr>
        <w:t>Worker Safety and Health During Fire Cleanup</w:t>
      </w:r>
    </w:p>
    <w:p w:rsidR="00C53851" w:rsidP="00F03071" w14:paraId="69C1D882" w14:textId="4F4182CF">
      <w:r>
        <w:t xml:space="preserve">The California Occupational Safety and Health Administration (Cal/OSHA) </w:t>
      </w:r>
      <w:r w:rsidR="000A2181">
        <w:t>has issued</w:t>
      </w:r>
      <w:r>
        <w:t xml:space="preserve"> </w:t>
      </w:r>
      <w:hyperlink r:id="rId6" w:history="1">
        <w:r w:rsidR="00CC0806">
          <w:rPr>
            <w:rStyle w:val="Hyperlink"/>
          </w:rPr>
          <w:t>guidance</w:t>
        </w:r>
      </w:hyperlink>
      <w:r>
        <w:t xml:space="preserve"> on worker safety and health during fire cleanup</w:t>
      </w:r>
      <w:r w:rsidR="00E27FE6">
        <w:t xml:space="preserve"> and reconstruction</w:t>
      </w:r>
      <w:r>
        <w:t xml:space="preserve">. Cal/OSHA requires employers </w:t>
      </w:r>
      <w:r w:rsidRPr="0007518D">
        <w:t>performing cleanup and other work in areas damaged or destroyed by fire to identify and evaluate hazards</w:t>
      </w:r>
      <w:r w:rsidR="00E27FE6">
        <w:t>;</w:t>
      </w:r>
      <w:r w:rsidRPr="0007518D">
        <w:t xml:space="preserve"> correct any unsafe or unhealthful conditions</w:t>
      </w:r>
      <w:r w:rsidR="00E27FE6">
        <w:t>;</w:t>
      </w:r>
      <w:r w:rsidRPr="0007518D">
        <w:t xml:space="preserve"> and provide training and instruction to employees</w:t>
      </w:r>
      <w:r w:rsidR="00E27FE6">
        <w:t>.</w:t>
      </w:r>
    </w:p>
    <w:p w:rsidR="0007518D" w:rsidP="00F03071" w14:paraId="233B494B" w14:textId="6DDC28A5">
      <w:r>
        <w:t xml:space="preserve">This </w:t>
      </w:r>
      <w:r w:rsidR="00990B22">
        <w:t>guidance</w:t>
      </w:r>
      <w:r>
        <w:t xml:space="preserve"> provides </w:t>
      </w:r>
      <w:r w:rsidR="00990B22">
        <w:t xml:space="preserve">potential hazards that could be encountered and the </w:t>
      </w:r>
      <w:r>
        <w:t>workplace health and safety standards that apply to all employees</w:t>
      </w:r>
      <w:r w:rsidR="00CA52A8">
        <w:t xml:space="preserve"> performing fire </w:t>
      </w:r>
      <w:r w:rsidR="00990B22">
        <w:t>cleanup and reconstruction</w:t>
      </w:r>
      <w:r w:rsidR="00CA52A8">
        <w:t>.</w:t>
      </w:r>
    </w:p>
    <w:p w:rsidR="00C53851" w:rsidP="00C53851" w14:paraId="5173CFB2" w14:textId="0A1EF3B0">
      <w:pPr>
        <w:pStyle w:val="Heading2"/>
      </w:pPr>
      <w:r>
        <w:t>Guidance Topics</w:t>
      </w:r>
    </w:p>
    <w:p w:rsidR="005E12B4" w:rsidP="005E12B4" w14:paraId="5CD5F838" w14:textId="1F4427A7">
      <w:r>
        <w:t xml:space="preserve">The guidance that Cal/OSHA provides for fire cleanup </w:t>
      </w:r>
      <w:r w:rsidR="004B2F1D">
        <w:t>id</w:t>
      </w:r>
      <w:r w:rsidR="00825F94">
        <w:t>entifies</w:t>
      </w:r>
      <w:r>
        <w:t xml:space="preserve"> </w:t>
      </w:r>
      <w:r w:rsidR="00CA52A8">
        <w:t>safety, health and confinement</w:t>
      </w:r>
      <w:r>
        <w:t xml:space="preserve"> hazards</w:t>
      </w:r>
      <w:r w:rsidR="00D34CC1">
        <w:t>,</w:t>
      </w:r>
      <w:r>
        <w:t xml:space="preserve"> </w:t>
      </w:r>
      <w:r w:rsidR="00D34CC1">
        <w:t xml:space="preserve">as well as </w:t>
      </w:r>
      <w:r w:rsidR="00F70FCE">
        <w:t xml:space="preserve">the rules </w:t>
      </w:r>
      <w:r w:rsidR="00990B22">
        <w:t xml:space="preserve">that apply to each. The following are the hazards </w:t>
      </w:r>
      <w:r w:rsidR="00825F94">
        <w:t>identified</w:t>
      </w:r>
      <w:r w:rsidR="00990B22">
        <w:t>:</w:t>
      </w:r>
    </w:p>
    <w:p w:rsidR="00CA52A8" w:rsidP="00F70FCE" w14:paraId="4FC34C6A" w14:textId="77777777">
      <w:pPr>
        <w:pStyle w:val="Bullet"/>
        <w:sectPr w:rsidSect="00E92A1C">
          <w:headerReference w:type="default" r:id="rId7"/>
          <w:headerReference w:type="first" r:id="rId8"/>
          <w:footerReference w:type="first" r:id="rId9"/>
          <w:pgSz w:w="12240" w:h="15840" w:code="1"/>
          <w:pgMar w:top="1440" w:right="720" w:bottom="1008" w:left="720" w:header="1440" w:footer="432" w:gutter="0"/>
          <w:cols w:space="720"/>
          <w:titlePg/>
          <w:docGrid w:linePitch="360"/>
        </w:sectPr>
      </w:pPr>
    </w:p>
    <w:p w:rsidR="00F70FCE" w:rsidRPr="00F70FCE" w:rsidP="00CA52A8" w14:paraId="554E2032" w14:textId="2FC3D2D1">
      <w:pPr>
        <w:pStyle w:val="Bullet"/>
        <w:jc w:val="left"/>
      </w:pPr>
      <w:r>
        <w:t xml:space="preserve">Fire </w:t>
      </w:r>
      <w:r w:rsidRPr="00F70FCE">
        <w:t xml:space="preserve">and </w:t>
      </w:r>
      <w:r w:rsidR="00D34CC1">
        <w:t>f</w:t>
      </w:r>
      <w:r w:rsidRPr="00F70FCE" w:rsidR="00D34CC1">
        <w:t xml:space="preserve">ire </w:t>
      </w:r>
      <w:r w:rsidR="00D34CC1">
        <w:t>b</w:t>
      </w:r>
      <w:r w:rsidRPr="00F70FCE" w:rsidR="00D34CC1">
        <w:t>yproducts</w:t>
      </w:r>
      <w:r w:rsidRPr="00F70FCE">
        <w:t>;</w:t>
      </w:r>
    </w:p>
    <w:p w:rsidR="00F70FCE" w:rsidRPr="00F70FCE" w:rsidP="00CA52A8" w14:paraId="62C2EB6A" w14:textId="0F155521">
      <w:pPr>
        <w:pStyle w:val="Bullet"/>
        <w:jc w:val="left"/>
      </w:pPr>
      <w:r w:rsidRPr="00F70FCE">
        <w:t>Electricity;</w:t>
      </w:r>
    </w:p>
    <w:p w:rsidR="00F70FCE" w:rsidP="00CA52A8" w14:paraId="114717C0" w14:textId="1D9DCA29">
      <w:pPr>
        <w:pStyle w:val="Bullet"/>
        <w:jc w:val="left"/>
      </w:pPr>
      <w:r>
        <w:t xml:space="preserve">Flammable </w:t>
      </w:r>
      <w:r>
        <w:t>gases;</w:t>
      </w:r>
    </w:p>
    <w:p w:rsidR="00F70FCE" w:rsidP="00CA52A8" w14:paraId="358CD7B5" w14:textId="4665D51B">
      <w:pPr>
        <w:pStyle w:val="Bullet"/>
        <w:jc w:val="left"/>
      </w:pPr>
      <w:r>
        <w:t xml:space="preserve">Unstable </w:t>
      </w:r>
      <w:r>
        <w:t>structures;</w:t>
      </w:r>
    </w:p>
    <w:p w:rsidR="00F70FCE" w:rsidP="00CA52A8" w14:paraId="5111C4C3" w14:textId="0C292AB1">
      <w:pPr>
        <w:pStyle w:val="Bullet"/>
        <w:jc w:val="left"/>
      </w:pPr>
      <w:r>
        <w:t>Demolition;</w:t>
      </w:r>
    </w:p>
    <w:p w:rsidR="00F70FCE" w:rsidP="00CA52A8" w14:paraId="0FAD648E" w14:textId="34BD4B71">
      <w:pPr>
        <w:pStyle w:val="Bullet"/>
        <w:jc w:val="left"/>
      </w:pPr>
      <w:r>
        <w:t xml:space="preserve">Sharp or flying </w:t>
      </w:r>
      <w:r>
        <w:t>objects;</w:t>
      </w:r>
    </w:p>
    <w:p w:rsidR="00F70FCE" w:rsidP="00CA52A8" w14:paraId="7B4E4E6C" w14:textId="1D20A493">
      <w:pPr>
        <w:pStyle w:val="Bullet"/>
        <w:jc w:val="left"/>
      </w:pPr>
      <w:r>
        <w:t>Excavations;</w:t>
      </w:r>
    </w:p>
    <w:p w:rsidR="00F70FCE" w:rsidP="00CA52A8" w14:paraId="7333B2DD" w14:textId="50471F2C">
      <w:pPr>
        <w:pStyle w:val="Bullet"/>
        <w:jc w:val="left"/>
      </w:pPr>
      <w:r>
        <w:t xml:space="preserve">Tree </w:t>
      </w:r>
      <w:r>
        <w:t>work;</w:t>
      </w:r>
    </w:p>
    <w:p w:rsidR="00F70FCE" w:rsidP="00CA52A8" w14:paraId="7E49D97E" w14:textId="37D2CDD7">
      <w:pPr>
        <w:pStyle w:val="Bullet"/>
        <w:jc w:val="left"/>
      </w:pPr>
      <w:r>
        <w:t xml:space="preserve">Haulage </w:t>
      </w:r>
      <w:r>
        <w:t>vehicles;</w:t>
      </w:r>
    </w:p>
    <w:p w:rsidR="00F70FCE" w:rsidP="00CA52A8" w14:paraId="1037E286" w14:textId="07DB9634">
      <w:pPr>
        <w:pStyle w:val="Bullet"/>
        <w:jc w:val="left"/>
      </w:pPr>
      <w:r>
        <w:t xml:space="preserve">Carbon monoxide </w:t>
      </w:r>
      <w:r>
        <w:t>poisoning;</w:t>
      </w:r>
    </w:p>
    <w:p w:rsidR="00F70FCE" w:rsidP="00CA52A8" w14:paraId="3221F465" w14:textId="367A8953">
      <w:pPr>
        <w:pStyle w:val="Bullet"/>
        <w:jc w:val="left"/>
      </w:pPr>
      <w:r>
        <w:t xml:space="preserve">Ash, soot and </w:t>
      </w:r>
      <w:r>
        <w:t>dust;</w:t>
      </w:r>
    </w:p>
    <w:p w:rsidR="00F70FCE" w:rsidP="00CA52A8" w14:paraId="287ED8DA" w14:textId="21A7B87E">
      <w:pPr>
        <w:pStyle w:val="Bullet"/>
        <w:jc w:val="left"/>
      </w:pPr>
      <w:r>
        <w:t>Asbestos</w:t>
      </w:r>
      <w:r>
        <w:t>;</w:t>
      </w:r>
    </w:p>
    <w:p w:rsidR="00F70FCE" w:rsidP="00CA52A8" w14:paraId="1B55FED8" w14:textId="3CB70A4F">
      <w:pPr>
        <w:pStyle w:val="Bullet"/>
        <w:jc w:val="left"/>
      </w:pPr>
      <w:r>
        <w:t xml:space="preserve">Hazardous </w:t>
      </w:r>
      <w:r>
        <w:t>liquids;</w:t>
      </w:r>
    </w:p>
    <w:p w:rsidR="00F70FCE" w:rsidP="00CA52A8" w14:paraId="5F109ACD" w14:textId="556F7C2A">
      <w:pPr>
        <w:pStyle w:val="Bullet"/>
        <w:jc w:val="left"/>
      </w:pPr>
      <w:r>
        <w:t xml:space="preserve">Other hazardous </w:t>
      </w:r>
      <w:r>
        <w:t>substances;</w:t>
      </w:r>
    </w:p>
    <w:p w:rsidR="00F70FCE" w:rsidP="00CA52A8" w14:paraId="2FC55BB0" w14:textId="5728FA79">
      <w:pPr>
        <w:pStyle w:val="Bullet"/>
        <w:jc w:val="left"/>
      </w:pPr>
      <w:r>
        <w:t>Heat illness; and</w:t>
      </w:r>
    </w:p>
    <w:p w:rsidR="00F70FCE" w:rsidP="00CA52A8" w14:paraId="472FFCF8" w14:textId="54BAC7C5">
      <w:pPr>
        <w:pStyle w:val="Bullet"/>
        <w:jc w:val="left"/>
      </w:pPr>
      <w:r>
        <w:t>Confined spaces.</w:t>
      </w:r>
    </w:p>
    <w:p w:rsidR="00CA52A8" w:rsidP="00F70FCE" w14:paraId="12575C79" w14:textId="77777777">
      <w:pPr>
        <w:pStyle w:val="Heading2"/>
        <w:sectPr w:rsidSect="00CA52A8">
          <w:type w:val="continuous"/>
          <w:pgSz w:w="12240" w:h="15840" w:code="1"/>
          <w:pgMar w:top="1440" w:right="720" w:bottom="1008" w:left="720" w:header="1440" w:footer="432" w:gutter="0"/>
          <w:cols w:num="3" w:space="720"/>
          <w:titlePg/>
          <w:docGrid w:linePitch="360"/>
        </w:sectPr>
      </w:pPr>
    </w:p>
    <w:p w:rsidR="00F70FCE" w:rsidP="00F70FCE" w14:paraId="3CFF1071" w14:textId="46DDFE6E">
      <w:pPr>
        <w:pStyle w:val="Heading2"/>
      </w:pPr>
      <w:r>
        <w:t>Employer Next Steps</w:t>
      </w:r>
    </w:p>
    <w:p w:rsidR="00F70FCE" w:rsidRPr="00F70FCE" w:rsidP="00F70FCE" w14:paraId="292EFC90" w14:textId="48D1F857">
      <w:r>
        <w:t xml:space="preserve">Employers should review the </w:t>
      </w:r>
      <w:r w:rsidR="00990B22">
        <w:t>guidance</w:t>
      </w:r>
      <w:r>
        <w:t xml:space="preserve"> Cal/OSHA has published to understand </w:t>
      </w:r>
      <w:r w:rsidR="00D34CC1">
        <w:t xml:space="preserve">the  </w:t>
      </w:r>
      <w:r>
        <w:t>health</w:t>
      </w:r>
      <w:r>
        <w:t xml:space="preserve"> and safety standards </w:t>
      </w:r>
      <w:r w:rsidR="00E27FE6">
        <w:t>and protocols</w:t>
      </w:r>
      <w:r w:rsidR="00D34CC1">
        <w:t xml:space="preserve"> that</w:t>
      </w:r>
      <w:r w:rsidR="00E27FE6">
        <w:t xml:space="preserve"> </w:t>
      </w:r>
      <w:r w:rsidR="00CA52A8">
        <w:t xml:space="preserve">need to be complied with to </w:t>
      </w:r>
      <w:r>
        <w:t xml:space="preserve">protect employees during </w:t>
      </w:r>
      <w:r w:rsidR="00CA52A8">
        <w:t>fire</w:t>
      </w:r>
      <w:r>
        <w:t xml:space="preserve"> cleanup</w:t>
      </w:r>
      <w:r w:rsidR="00E27FE6">
        <w:t xml:space="preserve"> and reconstruction</w:t>
      </w:r>
      <w:r>
        <w:t xml:space="preserve">. </w:t>
      </w:r>
    </w:p>
    <w:sectPr w:rsidSect="00CA52A8">
      <w:type w:val="continuous"/>
      <w:pgSz w:w="12240" w:h="15840" w:code="1"/>
      <w:pgMar w:top="1440" w:right="720" w:bottom="1008" w:left="720" w:header="144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614D" w:rsidP="005C647E" w14:paraId="0BB37D8E" w14:textId="3609124B">
    <w:pPr>
      <w:pStyle w:val="Footer"/>
    </w:pPr>
    <w:r>
      <w:t xml:space="preserve">This Legal Update is not intended to be </w:t>
    </w:r>
    <w:r>
      <w:t>exhaustive</w:t>
    </w:r>
    <w:r>
      <w:t xml:space="preserve"> nor should any discussion or opinions</w:t>
    </w:r>
    <w:r w:rsidR="000125CD">
      <w:t xml:space="preserve"> </w:t>
    </w:r>
    <w:r>
      <w:t>b</w:t>
    </w:r>
    <w:r w:rsidR="00A800D9">
      <w:t xml:space="preserve">e </w:t>
    </w:r>
    <w:r>
      <w:t>construed as legal</w:t>
    </w:r>
    <w:r w:rsidR="000125CD">
      <w:br/>
    </w:r>
    <w:r>
      <w:t>advice. Readers should contact legal counsel for legal advice. ©202</w:t>
    </w:r>
    <w:r w:rsidR="00E52357">
      <w:t>5</w:t>
    </w:r>
    <w:r>
      <w:t xml:space="preserve"> Zywave, Inc. All rights reserved.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7347" w14:paraId="09FAC77E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-523875</wp:posOffset>
              </wp:positionV>
              <wp:extent cx="6153150" cy="352425"/>
              <wp:effectExtent l="0" t="0" r="0" b="0"/>
              <wp:wrapTight wrapText="bothSides">
                <wp:wrapPolygon>
                  <wp:start x="201" y="0"/>
                  <wp:lineTo x="201" y="19849"/>
                  <wp:lineTo x="21333" y="19849"/>
                  <wp:lineTo x="21333" y="0"/>
                  <wp:lineTo x="201" y="0"/>
                </wp:wrapPolygon>
              </wp:wrapTight>
              <wp:docPr id="24935535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347" w:rsidRPr="00E92A1C" w:rsidP="00E92A1C" w14:textId="77777777">
                          <w:pPr>
                            <w:pStyle w:val="StateName-Page2"/>
                          </w:pPr>
                          <w:r>
                            <w:t>state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484.5pt;height:27.75pt;margin-top:-41.25pt;margin-left:-8.25pt;mso-wrap-distance-bottom:0;mso-wrap-distance-left:9pt;mso-wrap-distance-right:9pt;mso-wrap-distance-top:0;mso-wrap-style:square;position:absolute;v-text-anchor:top;visibility:visible;z-index:-251654144" filled="f" stroked="f">
              <v:textbox>
                <w:txbxContent>
                  <w:p w:rsidR="00B97347" w:rsidRPr="00E92A1C" w:rsidP="00E92A1C" w14:paraId="1CBFF44B" w14:textId="77777777">
                    <w:pPr>
                      <w:pStyle w:val="StateName-Page2"/>
                    </w:pPr>
                    <w:r>
                      <w:t>state name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5337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-247650</wp:posOffset>
          </wp:positionV>
          <wp:extent cx="7772400" cy="227965"/>
          <wp:effectExtent l="0" t="0" r="0" b="635"/>
          <wp:wrapNone/>
          <wp:docPr id="70231353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13535" name="Picture 70231353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31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27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2A1C" w:rsidRPr="00E92A1C" w:rsidP="00E92A1C" w14:paraId="1A6D5E31" w14:textId="77777777">
    <w:r w:rsidRPr="00E92A1C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4638675</wp:posOffset>
              </wp:positionH>
              <wp:positionV relativeFrom="page">
                <wp:posOffset>2343150</wp:posOffset>
              </wp:positionV>
              <wp:extent cx="2668905" cy="7077075"/>
              <wp:effectExtent l="0" t="0" r="0" b="9525"/>
              <wp:wrapTight wrapText="bothSides">
                <wp:wrapPolygon>
                  <wp:start x="0" y="0"/>
                  <wp:lineTo x="0" y="21571"/>
                  <wp:lineTo x="21430" y="21571"/>
                  <wp:lineTo x="21430" y="0"/>
                  <wp:lineTo x="0" y="0"/>
                </wp:wrapPolygon>
              </wp:wrapTight>
              <wp:docPr id="2356623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668905" cy="7077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2050" style="width:210.15pt;height:557.25pt;margin-top:184.5pt;margin-left:365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middle;visibility:visible;z-index:-251657216" fillcolor="white" stroked="f" strokeweight="1pt">
              <w10:wrap type="tight"/>
            </v:rect>
          </w:pict>
        </mc:Fallback>
      </mc:AlternateContent>
    </w:r>
    <w:r w:rsidRPr="00E92A1C">
      <w:rPr>
        <w:color w:val="FFFFFF" w:themeColor="background1"/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EB50F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E95063"/>
    <w:multiLevelType w:val="hybridMultilevel"/>
    <w:tmpl w:val="0CE2A7C2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686"/>
    <w:multiLevelType w:val="hybridMultilevel"/>
    <w:tmpl w:val="B218B7C6"/>
    <w:lvl w:ilvl="0">
      <w:start w:val="1"/>
      <w:numFmt w:val="bullet"/>
      <w:pStyle w:val="Checkbox"/>
      <w:lvlText w:val=""/>
      <w:lvlJc w:val="left"/>
      <w:pPr>
        <w:ind w:left="504" w:hanging="360"/>
      </w:pPr>
      <w:rPr>
        <w:rFonts w:ascii="Wingdings" w:hAnsi="Wingdings" w:hint="default"/>
        <w:color w:val="2D5500"/>
        <w:position w:val="-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324F"/>
    <w:multiLevelType w:val="hybridMultilevel"/>
    <w:tmpl w:val="5A5AA0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601A1"/>
    <w:multiLevelType w:val="hybridMultilevel"/>
    <w:tmpl w:val="43CE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24744"/>
    <w:multiLevelType w:val="hybridMultilevel"/>
    <w:tmpl w:val="9E9EBACE"/>
    <w:lvl w:ilvl="0">
      <w:start w:val="1"/>
      <w:numFmt w:val="bullet"/>
      <w:pStyle w:val="Xbox"/>
      <w:lvlText w:val=""/>
      <w:lvlJc w:val="left"/>
      <w:pPr>
        <w:ind w:left="504" w:hanging="360"/>
      </w:pPr>
      <w:rPr>
        <w:rFonts w:ascii="Wingdings" w:hAnsi="Wingdings" w:hint="default"/>
        <w:color w:val="D35151"/>
        <w:position w:val="-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E1D8C"/>
    <w:multiLevelType w:val="hybridMultilevel"/>
    <w:tmpl w:val="56B855E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DF823B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B3D9E"/>
    <w:multiLevelType w:val="hybridMultilevel"/>
    <w:tmpl w:val="2AF8C798"/>
    <w:lvl w:ilvl="0">
      <w:start w:val="1"/>
      <w:numFmt w:val="decimal"/>
      <w:pStyle w:val="ListParagraph"/>
      <w:lvlText w:val="%1."/>
      <w:lvlJc w:val="left"/>
      <w:pPr>
        <w:ind w:left="648" w:hanging="360"/>
      </w:pPr>
      <w:rPr>
        <w:rFonts w:ascii="Calibri" w:hAnsi="Calibri" w:hint="default"/>
        <w:b/>
        <w:i w:val="0"/>
        <w:color w:val="E87A46"/>
        <w:sz w:val="22"/>
      </w:r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79493AD4"/>
    <w:multiLevelType w:val="multilevel"/>
    <w:tmpl w:val="B13CDD56"/>
    <w:numStyleLink w:val="BulletedList"/>
  </w:abstractNum>
  <w:num w:numId="1" w16cid:durableId="927351848">
    <w:abstractNumId w:val="1"/>
  </w:num>
  <w:num w:numId="2" w16cid:durableId="7412135">
    <w:abstractNumId w:val="5"/>
  </w:num>
  <w:num w:numId="3" w16cid:durableId="1003046267">
    <w:abstractNumId w:val="2"/>
  </w:num>
  <w:num w:numId="4" w16cid:durableId="719862307">
    <w:abstractNumId w:val="6"/>
  </w:num>
  <w:num w:numId="5" w16cid:durableId="451825455">
    <w:abstractNumId w:val="4"/>
  </w:num>
  <w:num w:numId="6" w16cid:durableId="450781240">
    <w:abstractNumId w:val="9"/>
  </w:num>
  <w:num w:numId="7" w16cid:durableId="2090881019">
    <w:abstractNumId w:val="7"/>
  </w:num>
  <w:num w:numId="8" w16cid:durableId="344018671">
    <w:abstractNumId w:val="0"/>
  </w:num>
  <w:num w:numId="9" w16cid:durableId="1790198085">
    <w:abstractNumId w:val="3"/>
  </w:num>
  <w:num w:numId="10" w16cid:durableId="21400257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8D"/>
    <w:rsid w:val="00001C17"/>
    <w:rsid w:val="00011415"/>
    <w:rsid w:val="000125CD"/>
    <w:rsid w:val="00012CEB"/>
    <w:rsid w:val="0001360D"/>
    <w:rsid w:val="00016214"/>
    <w:rsid w:val="00031B3A"/>
    <w:rsid w:val="0003550A"/>
    <w:rsid w:val="0005018B"/>
    <w:rsid w:val="0007341F"/>
    <w:rsid w:val="0007518D"/>
    <w:rsid w:val="00081395"/>
    <w:rsid w:val="00095091"/>
    <w:rsid w:val="0009645B"/>
    <w:rsid w:val="000A0045"/>
    <w:rsid w:val="000A2181"/>
    <w:rsid w:val="000A6544"/>
    <w:rsid w:val="000C6F00"/>
    <w:rsid w:val="000D6127"/>
    <w:rsid w:val="000E3589"/>
    <w:rsid w:val="000E3914"/>
    <w:rsid w:val="000F4AD4"/>
    <w:rsid w:val="00104AA5"/>
    <w:rsid w:val="001050A8"/>
    <w:rsid w:val="00105EEA"/>
    <w:rsid w:val="00107ED7"/>
    <w:rsid w:val="00116124"/>
    <w:rsid w:val="0012162D"/>
    <w:rsid w:val="00127B96"/>
    <w:rsid w:val="001631A4"/>
    <w:rsid w:val="00165ECD"/>
    <w:rsid w:val="001725D9"/>
    <w:rsid w:val="00182D63"/>
    <w:rsid w:val="001A3B48"/>
    <w:rsid w:val="001B1A7E"/>
    <w:rsid w:val="001D2E26"/>
    <w:rsid w:val="001E6251"/>
    <w:rsid w:val="00204D50"/>
    <w:rsid w:val="00222264"/>
    <w:rsid w:val="002233C4"/>
    <w:rsid w:val="0022430C"/>
    <w:rsid w:val="0024208C"/>
    <w:rsid w:val="00256762"/>
    <w:rsid w:val="0026000D"/>
    <w:rsid w:val="0026616C"/>
    <w:rsid w:val="00273F49"/>
    <w:rsid w:val="00293DC1"/>
    <w:rsid w:val="002B61D1"/>
    <w:rsid w:val="002C644B"/>
    <w:rsid w:val="002D4F95"/>
    <w:rsid w:val="002D774E"/>
    <w:rsid w:val="002F4AA9"/>
    <w:rsid w:val="002F6C05"/>
    <w:rsid w:val="002F786C"/>
    <w:rsid w:val="003267EB"/>
    <w:rsid w:val="00327CB1"/>
    <w:rsid w:val="00330F29"/>
    <w:rsid w:val="003567A9"/>
    <w:rsid w:val="00361F1F"/>
    <w:rsid w:val="00363194"/>
    <w:rsid w:val="00375979"/>
    <w:rsid w:val="003827DB"/>
    <w:rsid w:val="003A02DA"/>
    <w:rsid w:val="003A6B72"/>
    <w:rsid w:val="003B3379"/>
    <w:rsid w:val="003B4BF6"/>
    <w:rsid w:val="003D2000"/>
    <w:rsid w:val="003E6DB2"/>
    <w:rsid w:val="00420A85"/>
    <w:rsid w:val="00432EFE"/>
    <w:rsid w:val="004553EA"/>
    <w:rsid w:val="0048508B"/>
    <w:rsid w:val="00485C3A"/>
    <w:rsid w:val="004967FA"/>
    <w:rsid w:val="004A5138"/>
    <w:rsid w:val="004B125C"/>
    <w:rsid w:val="004B1FE8"/>
    <w:rsid w:val="004B2F1D"/>
    <w:rsid w:val="004C6B2C"/>
    <w:rsid w:val="004D0638"/>
    <w:rsid w:val="004D34B3"/>
    <w:rsid w:val="004F0BA2"/>
    <w:rsid w:val="00507825"/>
    <w:rsid w:val="0051006D"/>
    <w:rsid w:val="0051523E"/>
    <w:rsid w:val="0054056E"/>
    <w:rsid w:val="00547F97"/>
    <w:rsid w:val="00551EB9"/>
    <w:rsid w:val="00575ACF"/>
    <w:rsid w:val="00583BCC"/>
    <w:rsid w:val="00584B55"/>
    <w:rsid w:val="00587536"/>
    <w:rsid w:val="005A5EC0"/>
    <w:rsid w:val="005C647E"/>
    <w:rsid w:val="005D05D9"/>
    <w:rsid w:val="005D0DBF"/>
    <w:rsid w:val="005E12B4"/>
    <w:rsid w:val="005F43D8"/>
    <w:rsid w:val="005F4BF3"/>
    <w:rsid w:val="005F6247"/>
    <w:rsid w:val="00602B83"/>
    <w:rsid w:val="00610CB3"/>
    <w:rsid w:val="006131DA"/>
    <w:rsid w:val="0061539C"/>
    <w:rsid w:val="00630521"/>
    <w:rsid w:val="00641D47"/>
    <w:rsid w:val="006519E6"/>
    <w:rsid w:val="00653370"/>
    <w:rsid w:val="00666548"/>
    <w:rsid w:val="00683AF1"/>
    <w:rsid w:val="0069339B"/>
    <w:rsid w:val="006A2A41"/>
    <w:rsid w:val="006C26E7"/>
    <w:rsid w:val="006D1FA0"/>
    <w:rsid w:val="00707343"/>
    <w:rsid w:val="00710DC1"/>
    <w:rsid w:val="00711096"/>
    <w:rsid w:val="00715756"/>
    <w:rsid w:val="007370DB"/>
    <w:rsid w:val="007407EE"/>
    <w:rsid w:val="00741340"/>
    <w:rsid w:val="00743B55"/>
    <w:rsid w:val="007505D2"/>
    <w:rsid w:val="00753418"/>
    <w:rsid w:val="00753ECE"/>
    <w:rsid w:val="00760ACB"/>
    <w:rsid w:val="00770406"/>
    <w:rsid w:val="00791EAC"/>
    <w:rsid w:val="00794151"/>
    <w:rsid w:val="00796AD3"/>
    <w:rsid w:val="00796E50"/>
    <w:rsid w:val="007A7442"/>
    <w:rsid w:val="007B006A"/>
    <w:rsid w:val="007C5D90"/>
    <w:rsid w:val="007C7381"/>
    <w:rsid w:val="007D171C"/>
    <w:rsid w:val="007E3B12"/>
    <w:rsid w:val="007E59DA"/>
    <w:rsid w:val="00802FF0"/>
    <w:rsid w:val="00823058"/>
    <w:rsid w:val="00825F94"/>
    <w:rsid w:val="00851718"/>
    <w:rsid w:val="00855DD7"/>
    <w:rsid w:val="00856044"/>
    <w:rsid w:val="00862292"/>
    <w:rsid w:val="00871E9E"/>
    <w:rsid w:val="008864AB"/>
    <w:rsid w:val="008A391F"/>
    <w:rsid w:val="008A7E71"/>
    <w:rsid w:val="008E2472"/>
    <w:rsid w:val="008F7B15"/>
    <w:rsid w:val="00901E20"/>
    <w:rsid w:val="00911905"/>
    <w:rsid w:val="00911B71"/>
    <w:rsid w:val="00912C7A"/>
    <w:rsid w:val="00923269"/>
    <w:rsid w:val="00926535"/>
    <w:rsid w:val="009269F0"/>
    <w:rsid w:val="00936063"/>
    <w:rsid w:val="009440BA"/>
    <w:rsid w:val="00954CAD"/>
    <w:rsid w:val="00973915"/>
    <w:rsid w:val="0098636D"/>
    <w:rsid w:val="00990B22"/>
    <w:rsid w:val="00993033"/>
    <w:rsid w:val="00993E92"/>
    <w:rsid w:val="009A7EB9"/>
    <w:rsid w:val="009B614D"/>
    <w:rsid w:val="009C043E"/>
    <w:rsid w:val="009D4BB6"/>
    <w:rsid w:val="009E2B6A"/>
    <w:rsid w:val="009E4BBC"/>
    <w:rsid w:val="009E4DC9"/>
    <w:rsid w:val="009F3360"/>
    <w:rsid w:val="00A1340A"/>
    <w:rsid w:val="00A13DFC"/>
    <w:rsid w:val="00A21981"/>
    <w:rsid w:val="00A337BD"/>
    <w:rsid w:val="00A41834"/>
    <w:rsid w:val="00A442D3"/>
    <w:rsid w:val="00A47C53"/>
    <w:rsid w:val="00A6114D"/>
    <w:rsid w:val="00A65FD8"/>
    <w:rsid w:val="00A800D9"/>
    <w:rsid w:val="00A805EA"/>
    <w:rsid w:val="00A87848"/>
    <w:rsid w:val="00AB3085"/>
    <w:rsid w:val="00AD0649"/>
    <w:rsid w:val="00AD3EA9"/>
    <w:rsid w:val="00AE4688"/>
    <w:rsid w:val="00AE6C7E"/>
    <w:rsid w:val="00B01BFD"/>
    <w:rsid w:val="00B62091"/>
    <w:rsid w:val="00B710E9"/>
    <w:rsid w:val="00B71DF9"/>
    <w:rsid w:val="00B73AC1"/>
    <w:rsid w:val="00B90587"/>
    <w:rsid w:val="00B94458"/>
    <w:rsid w:val="00B97347"/>
    <w:rsid w:val="00BA1B56"/>
    <w:rsid w:val="00BA7857"/>
    <w:rsid w:val="00BA7D47"/>
    <w:rsid w:val="00BC73A6"/>
    <w:rsid w:val="00BD5C3D"/>
    <w:rsid w:val="00BE45C1"/>
    <w:rsid w:val="00BE4790"/>
    <w:rsid w:val="00BF5E3D"/>
    <w:rsid w:val="00C05F41"/>
    <w:rsid w:val="00C15255"/>
    <w:rsid w:val="00C33700"/>
    <w:rsid w:val="00C53851"/>
    <w:rsid w:val="00C55EB7"/>
    <w:rsid w:val="00C56193"/>
    <w:rsid w:val="00C57040"/>
    <w:rsid w:val="00C608F0"/>
    <w:rsid w:val="00C6657F"/>
    <w:rsid w:val="00C741AE"/>
    <w:rsid w:val="00C74DB6"/>
    <w:rsid w:val="00C92F51"/>
    <w:rsid w:val="00CA52A8"/>
    <w:rsid w:val="00CA6AD1"/>
    <w:rsid w:val="00CC0806"/>
    <w:rsid w:val="00CC2E45"/>
    <w:rsid w:val="00CC6103"/>
    <w:rsid w:val="00CD4298"/>
    <w:rsid w:val="00CE3C98"/>
    <w:rsid w:val="00CF5E21"/>
    <w:rsid w:val="00D0683B"/>
    <w:rsid w:val="00D138E5"/>
    <w:rsid w:val="00D2167C"/>
    <w:rsid w:val="00D34CC1"/>
    <w:rsid w:val="00D35AF9"/>
    <w:rsid w:val="00D379D5"/>
    <w:rsid w:val="00D448B8"/>
    <w:rsid w:val="00D555FA"/>
    <w:rsid w:val="00D76FCB"/>
    <w:rsid w:val="00DA3D75"/>
    <w:rsid w:val="00DB4225"/>
    <w:rsid w:val="00DB7B15"/>
    <w:rsid w:val="00DB7F90"/>
    <w:rsid w:val="00DC3880"/>
    <w:rsid w:val="00DD1268"/>
    <w:rsid w:val="00DE1D5C"/>
    <w:rsid w:val="00DF66C7"/>
    <w:rsid w:val="00E00599"/>
    <w:rsid w:val="00E025B6"/>
    <w:rsid w:val="00E038A1"/>
    <w:rsid w:val="00E16E6C"/>
    <w:rsid w:val="00E26E72"/>
    <w:rsid w:val="00E27FE6"/>
    <w:rsid w:val="00E378E3"/>
    <w:rsid w:val="00E52357"/>
    <w:rsid w:val="00E52857"/>
    <w:rsid w:val="00E56E41"/>
    <w:rsid w:val="00E57D9C"/>
    <w:rsid w:val="00E64D05"/>
    <w:rsid w:val="00E73236"/>
    <w:rsid w:val="00E75B78"/>
    <w:rsid w:val="00E92A1C"/>
    <w:rsid w:val="00EA554C"/>
    <w:rsid w:val="00EB742C"/>
    <w:rsid w:val="00EC0B63"/>
    <w:rsid w:val="00EC1CF8"/>
    <w:rsid w:val="00EC2053"/>
    <w:rsid w:val="00ED30E6"/>
    <w:rsid w:val="00ED7C5F"/>
    <w:rsid w:val="00F03071"/>
    <w:rsid w:val="00F039B0"/>
    <w:rsid w:val="00F1199E"/>
    <w:rsid w:val="00F23790"/>
    <w:rsid w:val="00F32D2D"/>
    <w:rsid w:val="00F32F5A"/>
    <w:rsid w:val="00F365B9"/>
    <w:rsid w:val="00F61F20"/>
    <w:rsid w:val="00F70FCE"/>
    <w:rsid w:val="00FA6666"/>
    <w:rsid w:val="00FD3DCC"/>
  </w:rsids>
  <w:docVars>
    <w:docVar w:name="__Grammarly_42___1" w:val="H4sIAAAAAAAEAKtWcslP9kxRslIyNDa2MDI3MTUxMDMwMjAxtzRT0lEKTi0uzszPAykwrAUAePMGI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03AC1D"/>
  <w15:chartTrackingRefBased/>
  <w15:docId w15:val="{38F418B0-5C60-46A7-BA98-83FA9BC9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9DA"/>
    <w:pPr>
      <w:spacing w:after="80"/>
      <w:jc w:val="both"/>
    </w:pPr>
    <w:rPr>
      <w:rFonts w:ascii="Calibri" w:eastAsia="Times New Roman" w:hAnsi="Calibri" w:cs="Arial"/>
      <w:color w:val="595959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B8"/>
    <w:pPr>
      <w:spacing w:after="120" w:line="240" w:lineRule="auto"/>
      <w:jc w:val="left"/>
      <w:outlineLvl w:val="0"/>
    </w:pPr>
    <w:rPr>
      <w:b/>
      <w:noProof/>
      <w:color w:val="E87A4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583BCC"/>
    <w:pPr>
      <w:spacing w:before="120" w:after="80" w:line="240" w:lineRule="auto"/>
      <w:outlineLvl w:val="1"/>
    </w:pPr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A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auto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03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3AF1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MergeField">
    <w:name w:val="Merge Field"/>
    <w:basedOn w:val="Normal"/>
    <w:rsid w:val="00610CB3"/>
    <w:pPr>
      <w:spacing w:after="100" w:afterAutospacing="1"/>
      <w:jc w:val="left"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0125CD"/>
    <w:pPr>
      <w:tabs>
        <w:tab w:val="center" w:pos="4680"/>
        <w:tab w:val="right" w:pos="9360"/>
      </w:tabs>
      <w:spacing w:after="0" w:line="240" w:lineRule="auto"/>
      <w:jc w:val="left"/>
    </w:pPr>
    <w:rPr>
      <w:rFonts w:ascii="Calibri Light" w:hAnsi="Calibri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125CD"/>
    <w:rPr>
      <w:rFonts w:ascii="Calibri Light" w:eastAsia="Times New Roman" w:hAnsi="Calibri Light" w:cs="Arial"/>
      <w:color w:val="595959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83BCC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5C647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customStyle="1" w:styleId="Bullet2">
    <w:name w:val="Bullet 2"/>
    <w:basedOn w:val="Bullet"/>
    <w:qFormat/>
    <w:rsid w:val="007C7381"/>
    <w:pPr>
      <w:numPr>
        <w:ilvl w:val="1"/>
      </w:numPr>
      <w:ind w:left="864" w:hanging="288"/>
    </w:pPr>
  </w:style>
  <w:style w:type="character" w:customStyle="1" w:styleId="SubtitleChar">
    <w:name w:val="Subtitle Char"/>
    <w:basedOn w:val="DefaultParagraphFont"/>
    <w:link w:val="Subtitle"/>
    <w:uiPriority w:val="11"/>
    <w:rsid w:val="005C647E"/>
    <w:rPr>
      <w:rFonts w:eastAsiaTheme="minorEastAsia"/>
      <w:color w:val="5A5A5A" w:themeColor="text1" w:themeTint="A5"/>
      <w:spacing w:val="1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ectionBoxBold">
    <w:name w:val="Section Box Bold"/>
    <w:basedOn w:val="Normal"/>
    <w:next w:val="Normal"/>
    <w:link w:val="SectionBoxBoldChar"/>
    <w:qFormat/>
    <w:rsid w:val="00A805EA"/>
    <w:pPr>
      <w:spacing w:after="0" w:line="240" w:lineRule="auto"/>
    </w:pPr>
    <w:rPr>
      <w:b/>
      <w:color w:val="000000" w:themeColor="text1"/>
      <w:sz w:val="24"/>
      <w:szCs w:val="28"/>
    </w:rPr>
  </w:style>
  <w:style w:type="table" w:styleId="TableGrid">
    <w:name w:val="Table Grid"/>
    <w:basedOn w:val="TableNormal"/>
    <w:uiPriority w:val="39"/>
    <w:rsid w:val="00A4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BoxBoldChar">
    <w:name w:val="Section Box Bold Char"/>
    <w:basedOn w:val="DefaultParagraphFont"/>
    <w:link w:val="SectionBoxBold"/>
    <w:rsid w:val="00A805EA"/>
    <w:rPr>
      <w:rFonts w:ascii="Calibri" w:eastAsia="Times New Roman" w:hAnsi="Calibri" w:cs="Arial"/>
      <w:b/>
      <w:color w:val="000000" w:themeColor="text1"/>
      <w:sz w:val="24"/>
      <w:szCs w:val="28"/>
    </w:rPr>
  </w:style>
  <w:style w:type="paragraph" w:styleId="NoSpacing">
    <w:name w:val="No Spacing"/>
    <w:uiPriority w:val="1"/>
    <w:rsid w:val="00610CB3"/>
    <w:pPr>
      <w:spacing w:after="0" w:line="240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styleId="Strong">
    <w:name w:val="Strong"/>
    <w:basedOn w:val="DefaultParagraphFont"/>
    <w:uiPriority w:val="22"/>
    <w:rsid w:val="00610CB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5B"/>
    <w:rPr>
      <w:rFonts w:ascii="Calibri" w:eastAsia="Times New Roman" w:hAnsi="Calibri" w:cs="Arial"/>
      <w:color w:val="595959"/>
      <w:szCs w:val="20"/>
    </w:rPr>
  </w:style>
  <w:style w:type="paragraph" w:customStyle="1" w:styleId="Checkbox">
    <w:name w:val="Checkbox"/>
    <w:basedOn w:val="Normal"/>
    <w:link w:val="CheckboxChar"/>
    <w:qFormat/>
    <w:rsid w:val="00081395"/>
    <w:pPr>
      <w:numPr>
        <w:numId w:val="3"/>
      </w:numPr>
      <w:tabs>
        <w:tab w:val="left" w:pos="540"/>
      </w:tabs>
      <w:spacing w:after="120"/>
    </w:pPr>
  </w:style>
  <w:style w:type="paragraph" w:customStyle="1" w:styleId="StateName-Page2">
    <w:name w:val="State Name - Page 2"/>
    <w:basedOn w:val="Normal"/>
    <w:qFormat/>
    <w:rsid w:val="00165ECD"/>
    <w:pPr>
      <w:spacing w:after="0" w:line="240" w:lineRule="auto"/>
      <w:jc w:val="left"/>
    </w:pPr>
    <w:rPr>
      <w:rFonts w:ascii="Tahoma" w:hAnsi="Tahoma"/>
      <w:b/>
      <w:caps/>
      <w:color w:val="E87A46"/>
      <w:sz w:val="40"/>
    </w:rPr>
  </w:style>
  <w:style w:type="paragraph" w:customStyle="1" w:styleId="Xbox">
    <w:name w:val="Xbox"/>
    <w:basedOn w:val="Checkbox"/>
    <w:link w:val="XboxChar"/>
    <w:qFormat/>
    <w:rsid w:val="00081395"/>
    <w:pPr>
      <w:numPr>
        <w:numId w:val="4"/>
      </w:numPr>
    </w:pPr>
  </w:style>
  <w:style w:type="character" w:customStyle="1" w:styleId="CheckboxChar">
    <w:name w:val="Checkbox Char"/>
    <w:basedOn w:val="DefaultParagraphFont"/>
    <w:link w:val="Checkbox"/>
    <w:rsid w:val="00610CB3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182D63"/>
    <w:pPr>
      <w:jc w:val="center"/>
    </w:pPr>
    <w:rPr>
      <w:rFonts w:asciiTheme="minorHAnsi" w:hAnsiTheme="minorHAnsi"/>
      <w:b/>
      <w:i/>
      <w:color w:val="E87A46"/>
      <w:sz w:val="32"/>
      <w:szCs w:val="36"/>
    </w:rPr>
  </w:style>
  <w:style w:type="character" w:customStyle="1" w:styleId="XboxChar">
    <w:name w:val="Xbox Char"/>
    <w:basedOn w:val="CheckboxChar"/>
    <w:link w:val="Xbox"/>
    <w:rsid w:val="00610CB3"/>
    <w:rPr>
      <w:rFonts w:ascii="Calibri" w:eastAsia="Times New Roman" w:hAnsi="Calibri" w:cs="Arial"/>
      <w:color w:val="595959"/>
      <w:szCs w:val="20"/>
    </w:rPr>
  </w:style>
  <w:style w:type="character" w:customStyle="1" w:styleId="CallOutBoxChar">
    <w:name w:val="Call Out Box Char"/>
    <w:basedOn w:val="FooterChar"/>
    <w:link w:val="CallOutBox"/>
    <w:rsid w:val="00182D63"/>
    <w:rPr>
      <w:rFonts w:ascii="Calibri Light" w:eastAsia="Times New Roman" w:hAnsi="Calibri Light" w:cs="Arial"/>
      <w:b/>
      <w:i/>
      <w:color w:val="E87A46"/>
      <w:sz w:val="32"/>
      <w:szCs w:val="36"/>
    </w:rPr>
  </w:style>
  <w:style w:type="numbering" w:customStyle="1" w:styleId="BulletedList">
    <w:name w:val="Bulleted List"/>
    <w:uiPriority w:val="99"/>
    <w:rsid w:val="00DD1268"/>
    <w:pPr>
      <w:numPr>
        <w:numId w:val="5"/>
      </w:numPr>
    </w:pPr>
  </w:style>
  <w:style w:type="paragraph" w:customStyle="1" w:styleId="Bullet">
    <w:name w:val="Bullet"/>
    <w:basedOn w:val="ListBullet"/>
    <w:next w:val="Bullet2"/>
    <w:link w:val="BulletChar"/>
    <w:qFormat/>
    <w:rsid w:val="00F03071"/>
    <w:pPr>
      <w:numPr>
        <w:numId w:val="7"/>
      </w:numPr>
      <w:ind w:left="576" w:hanging="288"/>
      <w:contextualSpacing w:val="0"/>
    </w:pPr>
  </w:style>
  <w:style w:type="character" w:customStyle="1" w:styleId="BulletChar">
    <w:name w:val="Bullet Char"/>
    <w:basedOn w:val="DefaultParagraphFont"/>
    <w:link w:val="Bullet"/>
    <w:rsid w:val="00F03071"/>
    <w:rPr>
      <w:rFonts w:ascii="Calibri" w:eastAsia="Times New Roman" w:hAnsi="Calibri" w:cs="Arial"/>
      <w:color w:val="595959"/>
      <w:szCs w:val="20"/>
    </w:rPr>
  </w:style>
  <w:style w:type="paragraph" w:customStyle="1" w:styleId="StateName-Header">
    <w:name w:val="State Name-Header"/>
    <w:basedOn w:val="Normal"/>
    <w:qFormat/>
    <w:rsid w:val="00165ECD"/>
    <w:pPr>
      <w:jc w:val="right"/>
    </w:pPr>
    <w:rPr>
      <w:rFonts w:ascii="Tahoma" w:hAnsi="Tahoma"/>
      <w:b/>
      <w:caps/>
      <w:color w:val="FFFFFF" w:themeColor="background1"/>
      <w:sz w:val="116"/>
      <w14:shadow w14:blurRad="0" w14:dist="88900" w14:dir="8400000" w14:sx="100000" w14:sy="100000" w14:kx="0" w14:ky="0" w14:algn="tr">
        <w14:srgbClr w14:val="000000">
          <w14:alpha w14:val="8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448B8"/>
    <w:rPr>
      <w:rFonts w:ascii="Calibri" w:eastAsia="Times New Roman" w:hAnsi="Calibri" w:cs="Arial"/>
      <w:b/>
      <w:noProof/>
      <w:color w:val="E87A46"/>
      <w:sz w:val="48"/>
      <w:szCs w:val="48"/>
    </w:rPr>
  </w:style>
  <w:style w:type="paragraph" w:styleId="ListParagraph">
    <w:name w:val="List Paragraph"/>
    <w:basedOn w:val="Normal"/>
    <w:uiPriority w:val="34"/>
    <w:qFormat/>
    <w:rsid w:val="00575ACF"/>
    <w:pPr>
      <w:numPr>
        <w:numId w:val="10"/>
      </w:numPr>
      <w:ind w:left="576" w:hanging="288"/>
    </w:pPr>
  </w:style>
  <w:style w:type="paragraph" w:styleId="ListBullet">
    <w:name w:val="List Bullet"/>
    <w:basedOn w:val="Normal"/>
    <w:uiPriority w:val="99"/>
    <w:semiHidden/>
    <w:unhideWhenUsed/>
    <w:rsid w:val="006519E6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D7C5F"/>
    <w:rPr>
      <w:b w:val="0"/>
      <w:i w:val="0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BF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071"/>
    <w:rPr>
      <w:rFonts w:asciiTheme="majorHAnsi" w:eastAsiaTheme="majorEastAsia" w:hAnsiTheme="majorHAnsi" w:cstheme="majorBidi"/>
      <w:i/>
      <w:iCs/>
      <w:szCs w:val="20"/>
    </w:rPr>
  </w:style>
  <w:style w:type="character" w:styleId="IntenseEmphasis">
    <w:name w:val="Intense Emphasis"/>
    <w:basedOn w:val="DefaultParagraphFont"/>
    <w:uiPriority w:val="21"/>
    <w:rsid w:val="00F03071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F030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071"/>
    <w:rPr>
      <w:rFonts w:ascii="Calibri" w:eastAsia="Times New Roman" w:hAnsi="Calibri" w:cs="Arial"/>
      <w:i/>
      <w:iCs/>
      <w:szCs w:val="20"/>
    </w:rPr>
  </w:style>
  <w:style w:type="character" w:styleId="IntenseReference">
    <w:name w:val="Intense Reference"/>
    <w:basedOn w:val="DefaultParagraphFont"/>
    <w:uiPriority w:val="32"/>
    <w:rsid w:val="00F03071"/>
    <w:rPr>
      <w:b/>
      <w:bCs/>
      <w:smallCaps/>
      <w:color w:val="auto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B7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B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B15"/>
    <w:rPr>
      <w:rFonts w:ascii="Calibri" w:eastAsia="Times New Roman" w:hAnsi="Calibri" w:cs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B15"/>
    <w:rPr>
      <w:rFonts w:ascii="Calibri" w:eastAsia="Times New Roman" w:hAnsi="Calibri" w:cs="Arial"/>
      <w:b/>
      <w:bCs/>
      <w:color w:val="595959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1F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2181"/>
    <w:pPr>
      <w:spacing w:after="0" w:line="240" w:lineRule="auto"/>
    </w:pPr>
    <w:rPr>
      <w:rFonts w:ascii="Calibri" w:eastAsia="Times New Roman" w:hAnsi="Calibri" w:cs="Arial"/>
      <w:color w:val="59595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yperlink" Target="https://www.dir.ca.gov/dosh/wildfire/worker-health-and-safety-during-fire-cleanup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M:\MASTER%20TEMPLATES\Legal%20Content\State%20Specific%20Legal%20Update\State%20Legal%20Update-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e4ed5c-88d9-405d-a9a4-5110fdfd941d}" enabled="1" method="Standard" siteId="{bd0c095f-5d66-4273-a209-64796ae919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State Legal Update-Template.dotx</Template>
  <TotalTime>1</TotalTime>
  <Pages>1</Pages>
  <Words>192</Words>
  <Characters>1198</Characters>
  <Application>Microsoft Office Word</Application>
  <DocSecurity>0</DocSecurity>
  <Lines>34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// ////Cal/OSHA’s Guidance on Worker Safety and Health During Fire Cleanup</vt:lpstr>
      <vt:lpstr>    Guidance Topics</vt:lpstr>
      <vt:lpstr/>
      <vt:lpstr>    Employer Next Steps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Schlosser, Janelle</dc:creator>
  <cp:lastModifiedBy>Schlosser, Janelle</cp:lastModifiedBy>
  <cp:revision>2</cp:revision>
  <dcterms:created xsi:type="dcterms:W3CDTF">2025-01-31T14:18:00Z</dcterms:created>
  <dcterms:modified xsi:type="dcterms:W3CDTF">2025-01-31T14:18:00Z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4c1c99b1-20e3-4010-9107-7c7ae5854163</vt:lpwstr>
  </property>
</Properties>
</file>